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A2E3" w14:textId="77777777" w:rsidR="001C77BC" w:rsidRPr="00A22F16" w:rsidRDefault="002C2248">
      <w:pPr>
        <w:spacing w:after="275" w:line="259" w:lineRule="auto"/>
        <w:ind w:left="0" w:right="0" w:firstLine="0"/>
        <w:jc w:val="left"/>
        <w:rPr>
          <w:rFonts w:asciiTheme="minorHAnsi" w:hAnsiTheme="minorHAnsi"/>
          <w:color w:val="auto"/>
          <w:sz w:val="24"/>
          <w:szCs w:val="24"/>
        </w:rPr>
      </w:pPr>
      <w:r w:rsidRPr="00A22F16">
        <w:rPr>
          <w:rFonts w:asciiTheme="minorHAnsi" w:hAnsiTheme="minorHAnsi"/>
          <w:b/>
          <w:color w:val="auto"/>
          <w:sz w:val="24"/>
          <w:szCs w:val="24"/>
        </w:rPr>
        <w:t>Système de prix universel et système de prix locaux</w:t>
      </w:r>
      <w:r w:rsidRPr="00A22F16">
        <w:rPr>
          <w:rFonts w:asciiTheme="minorHAnsi" w:hAnsiTheme="minorHAnsi"/>
          <w:color w:val="auto"/>
          <w:sz w:val="24"/>
          <w:szCs w:val="24"/>
          <w:vertAlign w:val="superscript"/>
        </w:rPr>
        <w:t xml:space="preserve"> </w:t>
      </w:r>
    </w:p>
    <w:p w14:paraId="7EA486C6" w14:textId="77777777" w:rsidR="001C77BC" w:rsidRPr="00A22F16" w:rsidRDefault="002C2248">
      <w:pPr>
        <w:numPr>
          <w:ilvl w:val="0"/>
          <w:numId w:val="1"/>
        </w:numPr>
        <w:ind w:right="0" w:hanging="360"/>
        <w:rPr>
          <w:rFonts w:asciiTheme="minorHAnsi" w:hAnsiTheme="minorHAnsi"/>
          <w:color w:val="auto"/>
        </w:rPr>
      </w:pPr>
      <w:r w:rsidRPr="00A22F16">
        <w:rPr>
          <w:rFonts w:asciiTheme="minorHAnsi" w:hAnsiTheme="minorHAnsi"/>
          <w:color w:val="auto"/>
        </w:rPr>
        <w:t>Le Conseil d</w:t>
      </w:r>
      <w:r w:rsidR="00A84285" w:rsidRPr="00A22F16">
        <w:rPr>
          <w:rFonts w:asciiTheme="minorHAnsi" w:hAnsiTheme="minorHAnsi"/>
          <w:color w:val="auto"/>
        </w:rPr>
        <w:t>’</w:t>
      </w:r>
      <w:r w:rsidRPr="00A22F16">
        <w:rPr>
          <w:rFonts w:asciiTheme="minorHAnsi" w:hAnsiTheme="minorHAnsi"/>
          <w:color w:val="auto"/>
        </w:rPr>
        <w:t>administration a mis l</w:t>
      </w:r>
      <w:r w:rsidR="00A84285" w:rsidRPr="00A22F16">
        <w:rPr>
          <w:rFonts w:asciiTheme="minorHAnsi" w:hAnsiTheme="minorHAnsi"/>
          <w:color w:val="auto"/>
        </w:rPr>
        <w:t>’</w:t>
      </w:r>
      <w:r w:rsidRPr="00A22F16">
        <w:rPr>
          <w:rFonts w:asciiTheme="minorHAnsi" w:hAnsiTheme="minorHAnsi"/>
          <w:color w:val="auto"/>
        </w:rPr>
        <w:t>accent, dans sa décision 2012/27, sur le principe du recouvrement intégral des coûts comme stipulé dans la résolution 62/208 de l</w:t>
      </w:r>
      <w:r w:rsidR="00A84285" w:rsidRPr="00A22F16">
        <w:rPr>
          <w:rFonts w:asciiTheme="minorHAnsi" w:hAnsiTheme="minorHAnsi"/>
          <w:color w:val="auto"/>
        </w:rPr>
        <w:t>’</w:t>
      </w:r>
      <w:r w:rsidRPr="00A22F16">
        <w:rPr>
          <w:rFonts w:asciiTheme="minorHAnsi" w:hAnsiTheme="minorHAnsi"/>
          <w:color w:val="auto"/>
        </w:rPr>
        <w:t>Assemblée générale et dans la décision 2013/9, la nécessité d</w:t>
      </w:r>
      <w:r w:rsidR="00A84285" w:rsidRPr="00A22F16">
        <w:rPr>
          <w:rFonts w:asciiTheme="minorHAnsi" w:hAnsiTheme="minorHAnsi"/>
          <w:color w:val="auto"/>
        </w:rPr>
        <w:t>’</w:t>
      </w:r>
      <w:r w:rsidRPr="00A22F16">
        <w:rPr>
          <w:rFonts w:asciiTheme="minorHAnsi" w:hAnsiTheme="minorHAnsi"/>
          <w:color w:val="auto"/>
        </w:rPr>
        <w:t>appliquer la résolution 67/226 sur l</w:t>
      </w:r>
      <w:r w:rsidR="00A84285" w:rsidRPr="00A22F16">
        <w:rPr>
          <w:rFonts w:asciiTheme="minorHAnsi" w:hAnsiTheme="minorHAnsi"/>
          <w:color w:val="auto"/>
        </w:rPr>
        <w:t>’</w:t>
      </w:r>
      <w:r w:rsidRPr="00A22F16">
        <w:rPr>
          <w:rFonts w:asciiTheme="minorHAnsi" w:hAnsiTheme="minorHAnsi"/>
          <w:color w:val="auto"/>
        </w:rPr>
        <w:t>examen quadriennal complet des activités opérationnelles de développement du système des Nations Unies, en particulier la section D du chapitre II sur l</w:t>
      </w:r>
      <w:r w:rsidR="00A84285" w:rsidRPr="00A22F16">
        <w:rPr>
          <w:rFonts w:asciiTheme="minorHAnsi" w:hAnsiTheme="minorHAnsi"/>
          <w:color w:val="auto"/>
        </w:rPr>
        <w:t>’</w:t>
      </w:r>
      <w:r w:rsidRPr="00A22F16">
        <w:rPr>
          <w:rFonts w:asciiTheme="minorHAnsi" w:hAnsiTheme="minorHAnsi"/>
          <w:color w:val="auto"/>
        </w:rPr>
        <w:t>assurance du reco</w:t>
      </w:r>
      <w:r w:rsidR="00A84285" w:rsidRPr="00A22F16">
        <w:rPr>
          <w:rFonts w:asciiTheme="minorHAnsi" w:hAnsiTheme="minorHAnsi"/>
          <w:color w:val="auto"/>
        </w:rPr>
        <w:t>uvrement intégral des dépenses.</w:t>
      </w:r>
    </w:p>
    <w:p w14:paraId="08D34F7F" w14:textId="77777777" w:rsidR="001C77BC" w:rsidRPr="00A22F16" w:rsidRDefault="001C77BC">
      <w:pPr>
        <w:spacing w:after="19" w:line="259" w:lineRule="auto"/>
        <w:ind w:left="720" w:right="0" w:firstLine="0"/>
        <w:jc w:val="left"/>
        <w:rPr>
          <w:rFonts w:asciiTheme="minorHAnsi" w:hAnsiTheme="minorHAnsi"/>
          <w:color w:val="auto"/>
        </w:rPr>
      </w:pPr>
    </w:p>
    <w:p w14:paraId="2D9D6E77" w14:textId="2CBB8B57" w:rsidR="001C77BC" w:rsidRPr="00A22F16" w:rsidRDefault="002C2248">
      <w:pPr>
        <w:numPr>
          <w:ilvl w:val="0"/>
          <w:numId w:val="1"/>
        </w:numPr>
        <w:ind w:right="0" w:hanging="360"/>
        <w:rPr>
          <w:rFonts w:asciiTheme="minorHAnsi" w:hAnsiTheme="minorHAnsi"/>
          <w:color w:val="auto"/>
        </w:rPr>
      </w:pPr>
      <w:r w:rsidRPr="00A22F16">
        <w:rPr>
          <w:rFonts w:asciiTheme="minorHAnsi" w:hAnsiTheme="minorHAnsi"/>
          <w:color w:val="auto"/>
        </w:rPr>
        <w:t>Le Programme des Nations Unies pour le développement (PNUD) est engagé à fournir des services administratifs aux institutions et programmes des Nations Unies par l</w:t>
      </w:r>
      <w:r w:rsidR="00A84285" w:rsidRPr="00A22F16">
        <w:rPr>
          <w:rFonts w:asciiTheme="minorHAnsi" w:hAnsiTheme="minorHAnsi"/>
          <w:color w:val="auto"/>
        </w:rPr>
        <w:t>’</w:t>
      </w:r>
      <w:r w:rsidRPr="00A22F16">
        <w:rPr>
          <w:rFonts w:asciiTheme="minorHAnsi" w:hAnsiTheme="minorHAnsi"/>
          <w:color w:val="auto"/>
        </w:rPr>
        <w:t xml:space="preserve">intermédiaire de son réseau </w:t>
      </w:r>
      <w:r w:rsidR="00F109E7" w:rsidRPr="00A22F16">
        <w:rPr>
          <w:rFonts w:asciiTheme="minorHAnsi" w:hAnsiTheme="minorHAnsi"/>
          <w:color w:val="auto"/>
        </w:rPr>
        <w:t xml:space="preserve">mondial </w:t>
      </w:r>
      <w:r w:rsidRPr="00A22F16">
        <w:rPr>
          <w:rFonts w:asciiTheme="minorHAnsi" w:hAnsiTheme="minorHAnsi"/>
          <w:color w:val="auto"/>
        </w:rPr>
        <w:t xml:space="preserve">de bureaux, conformément aux demandes des institutions des Nations Unies et à la capacité du bureau du PNUD à y répondre. </w:t>
      </w:r>
      <w:r w:rsidRPr="00A22F16">
        <w:rPr>
          <w:rFonts w:asciiTheme="minorHAnsi" w:hAnsiTheme="minorHAnsi"/>
          <w:b/>
          <w:color w:val="auto"/>
        </w:rPr>
        <w:t>Tous les coûts associés aux services fournis aux institutions des Nations Unies au niveau du pays de programme seront intégralement remboursés par les institutions des Nations Unies respectives.</w:t>
      </w:r>
    </w:p>
    <w:p w14:paraId="0BA38EF8" w14:textId="77777777" w:rsidR="001C77BC" w:rsidRPr="00A22F16" w:rsidRDefault="001C77BC">
      <w:pPr>
        <w:spacing w:after="44" w:line="259" w:lineRule="auto"/>
        <w:ind w:left="720" w:right="0" w:firstLine="0"/>
        <w:jc w:val="left"/>
        <w:rPr>
          <w:rFonts w:asciiTheme="minorHAnsi" w:hAnsiTheme="minorHAnsi"/>
          <w:color w:val="auto"/>
        </w:rPr>
      </w:pPr>
    </w:p>
    <w:p w14:paraId="1CB07B5D" w14:textId="041E4AF0" w:rsidR="001C77BC" w:rsidRPr="00A22F16" w:rsidRDefault="002C2248">
      <w:pPr>
        <w:numPr>
          <w:ilvl w:val="0"/>
          <w:numId w:val="1"/>
        </w:numPr>
        <w:ind w:right="0" w:hanging="360"/>
        <w:rPr>
          <w:rFonts w:asciiTheme="minorHAnsi" w:hAnsiTheme="minorHAnsi"/>
          <w:color w:val="31849B" w:themeColor="accent5" w:themeShade="BF"/>
        </w:rPr>
      </w:pPr>
      <w:r w:rsidRPr="00A22F16">
        <w:rPr>
          <w:rFonts w:asciiTheme="minorHAnsi" w:hAnsiTheme="minorHAnsi"/>
          <w:color w:val="auto"/>
        </w:rPr>
        <w:t>Au niveau des sociétés, des mémorandums d</w:t>
      </w:r>
      <w:r w:rsidR="00A84285" w:rsidRPr="00A22F16">
        <w:rPr>
          <w:rFonts w:asciiTheme="minorHAnsi" w:hAnsiTheme="minorHAnsi"/>
          <w:color w:val="auto"/>
        </w:rPr>
        <w:t>’</w:t>
      </w:r>
      <w:r w:rsidRPr="00A22F16">
        <w:rPr>
          <w:rFonts w:asciiTheme="minorHAnsi" w:hAnsiTheme="minorHAnsi"/>
          <w:color w:val="auto"/>
        </w:rPr>
        <w:t>accord sont conclus avec les institutions des Nations Unies qui règlementent le cadre global du partenariat. Ces accords précisent que le PNUD fournira des services de recouvrement des coûts et qu</w:t>
      </w:r>
      <w:r w:rsidR="00A84285" w:rsidRPr="00A22F16">
        <w:rPr>
          <w:rFonts w:asciiTheme="minorHAnsi" w:hAnsiTheme="minorHAnsi"/>
          <w:color w:val="auto"/>
        </w:rPr>
        <w:t>’</w:t>
      </w:r>
      <w:r w:rsidRPr="00A22F16">
        <w:rPr>
          <w:rFonts w:asciiTheme="minorHAnsi" w:hAnsiTheme="minorHAnsi"/>
          <w:color w:val="auto"/>
        </w:rPr>
        <w:t>aucun contrat local ou lettre d</w:t>
      </w:r>
      <w:r w:rsidR="00A84285" w:rsidRPr="00A22F16">
        <w:rPr>
          <w:rFonts w:asciiTheme="minorHAnsi" w:hAnsiTheme="minorHAnsi"/>
          <w:color w:val="auto"/>
        </w:rPr>
        <w:t>’</w:t>
      </w:r>
      <w:r w:rsidRPr="00A22F16">
        <w:rPr>
          <w:rFonts w:asciiTheme="minorHAnsi" w:hAnsiTheme="minorHAnsi"/>
          <w:color w:val="auto"/>
        </w:rPr>
        <w:t>accord supplémentaire n</w:t>
      </w:r>
      <w:r w:rsidR="00A84285" w:rsidRPr="00A22F16">
        <w:rPr>
          <w:rFonts w:asciiTheme="minorHAnsi" w:hAnsiTheme="minorHAnsi"/>
          <w:color w:val="auto"/>
        </w:rPr>
        <w:t>’</w:t>
      </w:r>
      <w:r w:rsidRPr="00A22F16">
        <w:rPr>
          <w:rFonts w:asciiTheme="minorHAnsi" w:hAnsiTheme="minorHAnsi"/>
          <w:color w:val="auto"/>
        </w:rPr>
        <w:t>est requis (même si un accord de prestation de services local peut être utile pour éclaircir les niveaux de fourniture de services et les attentes en la matière). Un procédé pour l</w:t>
      </w:r>
      <w:r w:rsidR="00A84285" w:rsidRPr="00A22F16">
        <w:rPr>
          <w:rFonts w:asciiTheme="minorHAnsi" w:hAnsiTheme="minorHAnsi"/>
          <w:color w:val="auto"/>
        </w:rPr>
        <w:t>’</w:t>
      </w:r>
      <w:r w:rsidRPr="00A22F16">
        <w:rPr>
          <w:rFonts w:asciiTheme="minorHAnsi" w:hAnsiTheme="minorHAnsi"/>
          <w:color w:val="auto"/>
        </w:rPr>
        <w:t>examen de ces mémorandums d</w:t>
      </w:r>
      <w:r w:rsidR="00A84285" w:rsidRPr="00A22F16">
        <w:rPr>
          <w:rFonts w:asciiTheme="minorHAnsi" w:hAnsiTheme="minorHAnsi"/>
          <w:color w:val="auto"/>
        </w:rPr>
        <w:t>’</w:t>
      </w:r>
      <w:r w:rsidRPr="00A22F16">
        <w:rPr>
          <w:rFonts w:asciiTheme="minorHAnsi" w:hAnsiTheme="minorHAnsi"/>
          <w:color w:val="auto"/>
        </w:rPr>
        <w:t xml:space="preserve">accord a été créé </w:t>
      </w:r>
      <w:r w:rsidR="009C2F95" w:rsidRPr="00A22F16">
        <w:rPr>
          <w:rFonts w:asciiTheme="minorHAnsi" w:hAnsiTheme="minorHAnsi"/>
          <w:color w:val="auto"/>
        </w:rPr>
        <w:t>pour les sociétés</w:t>
      </w:r>
      <w:r w:rsidR="00CF55CE" w:rsidRPr="00A22F16">
        <w:rPr>
          <w:rFonts w:asciiTheme="minorHAnsi" w:hAnsiTheme="minorHAnsi"/>
          <w:color w:val="auto"/>
        </w:rPr>
        <w:t>,</w:t>
      </w:r>
      <w:r w:rsidR="009C2F95" w:rsidRPr="00A22F16">
        <w:rPr>
          <w:rFonts w:asciiTheme="minorHAnsi" w:hAnsiTheme="minorHAnsi"/>
          <w:color w:val="auto"/>
        </w:rPr>
        <w:t xml:space="preserve"> </w:t>
      </w:r>
      <w:r w:rsidRPr="00A22F16">
        <w:rPr>
          <w:rFonts w:asciiTheme="minorHAnsi" w:hAnsiTheme="minorHAnsi"/>
          <w:color w:val="auto"/>
        </w:rPr>
        <w:t>par le Groupe d</w:t>
      </w:r>
      <w:r w:rsidR="00A84285" w:rsidRPr="00A22F16">
        <w:rPr>
          <w:rFonts w:asciiTheme="minorHAnsi" w:hAnsiTheme="minorHAnsi"/>
          <w:color w:val="auto"/>
        </w:rPr>
        <w:t>’</w:t>
      </w:r>
      <w:r w:rsidRPr="00A22F16">
        <w:rPr>
          <w:rFonts w:asciiTheme="minorHAnsi" w:hAnsiTheme="minorHAnsi"/>
          <w:color w:val="auto"/>
        </w:rPr>
        <w:t>examen des partenariats (Bureau des relations extérieures et du plaidoyer/partenariats). Les mémorandums d</w:t>
      </w:r>
      <w:r w:rsidR="00A84285" w:rsidRPr="00A22F16">
        <w:rPr>
          <w:rFonts w:asciiTheme="minorHAnsi" w:hAnsiTheme="minorHAnsi"/>
          <w:color w:val="auto"/>
        </w:rPr>
        <w:t>’</w:t>
      </w:r>
      <w:r w:rsidRPr="00A22F16">
        <w:rPr>
          <w:rFonts w:asciiTheme="minorHAnsi" w:hAnsiTheme="minorHAnsi"/>
          <w:color w:val="auto"/>
        </w:rPr>
        <w:t>accord signés sont publiés dans la bibliothèque de la société :</w:t>
      </w:r>
      <w:hyperlink r:id="rId12">
        <w:r w:rsidRPr="00A22F16">
          <w:rPr>
            <w:rFonts w:asciiTheme="minorHAnsi" w:hAnsiTheme="minorHAnsi"/>
            <w:color w:val="31849B" w:themeColor="accent5" w:themeShade="BF"/>
          </w:rPr>
          <w:t xml:space="preserve"> </w:t>
        </w:r>
      </w:hyperlink>
      <w:hyperlink r:id="rId13">
        <w:r w:rsidRPr="00A22F16">
          <w:rPr>
            <w:rFonts w:asciiTheme="minorHAnsi" w:hAnsiTheme="minorHAnsi"/>
            <w:b/>
            <w:color w:val="31849B" w:themeColor="accent5" w:themeShade="BF"/>
            <w:u w:val="single"/>
          </w:rPr>
          <w:t>Mémorandums d</w:t>
        </w:r>
        <w:r w:rsidR="00A84285" w:rsidRPr="00A22F16">
          <w:rPr>
            <w:rFonts w:asciiTheme="minorHAnsi" w:hAnsiTheme="minorHAnsi"/>
            <w:b/>
            <w:color w:val="31849B" w:themeColor="accent5" w:themeShade="BF"/>
            <w:u w:val="single"/>
          </w:rPr>
          <w:t>’</w:t>
        </w:r>
        <w:r w:rsidRPr="00A22F16">
          <w:rPr>
            <w:rFonts w:asciiTheme="minorHAnsi" w:hAnsiTheme="minorHAnsi"/>
            <w:b/>
            <w:color w:val="31849B" w:themeColor="accent5" w:themeShade="BF"/>
            <w:u w:val="single"/>
          </w:rPr>
          <w:t>accord relatifs aux partenariats</w:t>
        </w:r>
      </w:hyperlink>
      <w:hyperlink r:id="rId14">
        <w:r w:rsidRPr="00A22F16">
          <w:rPr>
            <w:rFonts w:asciiTheme="minorHAnsi" w:hAnsiTheme="minorHAnsi"/>
            <w:color w:val="31849B" w:themeColor="accent5" w:themeShade="BF"/>
          </w:rPr>
          <w:t>.</w:t>
        </w:r>
      </w:hyperlink>
    </w:p>
    <w:p w14:paraId="39796C43" w14:textId="77777777" w:rsidR="001C77BC" w:rsidRPr="00A22F16" w:rsidRDefault="001C77BC">
      <w:pPr>
        <w:spacing w:after="45" w:line="259" w:lineRule="auto"/>
        <w:ind w:left="720" w:right="0" w:firstLine="0"/>
        <w:jc w:val="left"/>
        <w:rPr>
          <w:rFonts w:asciiTheme="minorHAnsi" w:hAnsiTheme="minorHAnsi"/>
          <w:color w:val="auto"/>
        </w:rPr>
      </w:pPr>
    </w:p>
    <w:p w14:paraId="023B1924" w14:textId="3C23D0F4" w:rsidR="001C77BC" w:rsidRPr="00A22F16" w:rsidRDefault="002C2248">
      <w:pPr>
        <w:numPr>
          <w:ilvl w:val="0"/>
          <w:numId w:val="1"/>
        </w:numPr>
        <w:ind w:right="0" w:hanging="360"/>
        <w:rPr>
          <w:rFonts w:asciiTheme="minorHAnsi" w:hAnsiTheme="minorHAnsi"/>
          <w:color w:val="auto"/>
        </w:rPr>
      </w:pPr>
      <w:r w:rsidRPr="00A22F16">
        <w:rPr>
          <w:rFonts w:asciiTheme="minorHAnsi" w:hAnsiTheme="minorHAnsi"/>
          <w:color w:val="auto"/>
        </w:rPr>
        <w:t>Si un bureau du PNUD estime qu</w:t>
      </w:r>
      <w:r w:rsidR="00A84285" w:rsidRPr="00A22F16">
        <w:rPr>
          <w:rFonts w:asciiTheme="minorHAnsi" w:hAnsiTheme="minorHAnsi"/>
          <w:color w:val="auto"/>
        </w:rPr>
        <w:t>’</w:t>
      </w:r>
      <w:r w:rsidRPr="00A22F16">
        <w:rPr>
          <w:rFonts w:asciiTheme="minorHAnsi" w:hAnsiTheme="minorHAnsi"/>
          <w:color w:val="auto"/>
        </w:rPr>
        <w:t>il ne peut pas fournir des services de qualité ou rapides, ou n</w:t>
      </w:r>
      <w:r w:rsidR="00A84285" w:rsidRPr="00A22F16">
        <w:rPr>
          <w:rFonts w:asciiTheme="minorHAnsi" w:hAnsiTheme="minorHAnsi"/>
          <w:color w:val="auto"/>
        </w:rPr>
        <w:t>’</w:t>
      </w:r>
      <w:r w:rsidRPr="00A22F16">
        <w:rPr>
          <w:rFonts w:asciiTheme="minorHAnsi" w:hAnsiTheme="minorHAnsi"/>
          <w:color w:val="auto"/>
        </w:rPr>
        <w:t xml:space="preserve">a pas les capacités requises pour ce faire, il peut informer les institutions des Nations Unies </w:t>
      </w:r>
      <w:r w:rsidR="00182840" w:rsidRPr="00A22F16">
        <w:rPr>
          <w:rFonts w:asciiTheme="minorHAnsi" w:hAnsiTheme="minorHAnsi"/>
          <w:color w:val="auto"/>
        </w:rPr>
        <w:t xml:space="preserve">à </w:t>
      </w:r>
      <w:proofErr w:type="gramStart"/>
      <w:r w:rsidR="00182840" w:rsidRPr="00A22F16">
        <w:rPr>
          <w:rFonts w:asciiTheme="minorHAnsi" w:hAnsiTheme="minorHAnsi"/>
          <w:color w:val="auto"/>
        </w:rPr>
        <w:t>l’</w:t>
      </w:r>
      <w:r w:rsidRPr="00A22F16">
        <w:rPr>
          <w:rFonts w:asciiTheme="minorHAnsi" w:hAnsiTheme="minorHAnsi"/>
          <w:color w:val="auto"/>
        </w:rPr>
        <w:t xml:space="preserve"> avance</w:t>
      </w:r>
      <w:proofErr w:type="gramEnd"/>
      <w:r w:rsidRPr="00A22F16">
        <w:rPr>
          <w:rFonts w:asciiTheme="minorHAnsi" w:hAnsiTheme="minorHAnsi"/>
          <w:color w:val="auto"/>
        </w:rPr>
        <w:t xml:space="preserve"> et refuser de fournir les services demandés. Toutefois, les bureaux du PNUD déploient leurs meilleurs efforts pour</w:t>
      </w:r>
      <w:r w:rsidR="00A84285" w:rsidRPr="00A22F16">
        <w:rPr>
          <w:rFonts w:asciiTheme="minorHAnsi" w:hAnsiTheme="minorHAnsi"/>
          <w:color w:val="auto"/>
        </w:rPr>
        <w:t xml:space="preserve"> fournir les services demandés.</w:t>
      </w:r>
    </w:p>
    <w:p w14:paraId="3040228A" w14:textId="77777777" w:rsidR="001C77BC" w:rsidRPr="00A22F16" w:rsidRDefault="001C77BC">
      <w:pPr>
        <w:spacing w:after="41" w:line="259" w:lineRule="auto"/>
        <w:ind w:left="720" w:right="0" w:firstLine="0"/>
        <w:jc w:val="left"/>
        <w:rPr>
          <w:rFonts w:asciiTheme="minorHAnsi" w:hAnsiTheme="minorHAnsi"/>
          <w:color w:val="auto"/>
        </w:rPr>
      </w:pPr>
    </w:p>
    <w:p w14:paraId="2779E546" w14:textId="3B2D3C4C" w:rsidR="001C77BC" w:rsidRPr="00A22F16" w:rsidRDefault="002C2248">
      <w:pPr>
        <w:numPr>
          <w:ilvl w:val="0"/>
          <w:numId w:val="1"/>
        </w:numPr>
        <w:ind w:right="0" w:hanging="360"/>
        <w:rPr>
          <w:rFonts w:asciiTheme="minorHAnsi" w:hAnsiTheme="minorHAnsi"/>
          <w:color w:val="auto"/>
        </w:rPr>
      </w:pPr>
      <w:r w:rsidRPr="00A22F16">
        <w:rPr>
          <w:rFonts w:asciiTheme="minorHAnsi" w:hAnsiTheme="minorHAnsi"/>
          <w:color w:val="auto"/>
        </w:rPr>
        <w:t>Dans le cadre des paramètres des politiques et procédures du PNUD, comme déclaré</w:t>
      </w:r>
      <w:r w:rsidR="00D8644B" w:rsidRPr="00A22F16">
        <w:rPr>
          <w:rFonts w:asciiTheme="minorHAnsi" w:hAnsiTheme="minorHAnsi"/>
          <w:color w:val="auto"/>
        </w:rPr>
        <w:t>s</w:t>
      </w:r>
      <w:r w:rsidRPr="00A22F16">
        <w:rPr>
          <w:rFonts w:asciiTheme="minorHAnsi" w:hAnsiTheme="minorHAnsi"/>
          <w:color w:val="auto"/>
        </w:rPr>
        <w:t xml:space="preserve"> dans ce chapitre des politiques et procédures régissant les programmes et opérations, les bureaux du PNUD ne doivent pas refuser de fournir des services aux </w:t>
      </w:r>
      <w:r w:rsidRPr="00A22F16">
        <w:rPr>
          <w:rFonts w:asciiTheme="minorHAnsi" w:hAnsiTheme="minorHAnsi"/>
          <w:b/>
          <w:color w:val="auto"/>
        </w:rPr>
        <w:t xml:space="preserve">institutions </w:t>
      </w:r>
      <w:r w:rsidR="00C74038">
        <w:rPr>
          <w:rFonts w:asciiTheme="minorHAnsi" w:hAnsiTheme="minorHAnsi"/>
          <w:b/>
          <w:color w:val="auto"/>
        </w:rPr>
        <w:t>Quantum</w:t>
      </w:r>
      <w:r w:rsidRPr="00A22F16">
        <w:rPr>
          <w:rFonts w:asciiTheme="minorHAnsi" w:hAnsiTheme="minorHAnsi"/>
          <w:color w:val="auto"/>
        </w:rPr>
        <w:t xml:space="preserve"> sans l</w:t>
      </w:r>
      <w:r w:rsidR="00A84285" w:rsidRPr="00A22F16">
        <w:rPr>
          <w:rFonts w:asciiTheme="minorHAnsi" w:hAnsiTheme="minorHAnsi"/>
          <w:color w:val="auto"/>
        </w:rPr>
        <w:t>’</w:t>
      </w:r>
      <w:r w:rsidRPr="00A22F16">
        <w:rPr>
          <w:rFonts w:asciiTheme="minorHAnsi" w:hAnsiTheme="minorHAnsi"/>
          <w:color w:val="auto"/>
        </w:rPr>
        <w:t>approbation du Bureau de la gestion</w:t>
      </w:r>
      <w:r w:rsidR="007D4EC7" w:rsidRPr="00A22F16">
        <w:rPr>
          <w:rFonts w:asciiTheme="minorHAnsi" w:hAnsiTheme="minorHAnsi"/>
          <w:color w:val="auto"/>
        </w:rPr>
        <w:t>/Bureau</w:t>
      </w:r>
      <w:r w:rsidRPr="00A22F16">
        <w:rPr>
          <w:rFonts w:asciiTheme="minorHAnsi" w:hAnsiTheme="minorHAnsi"/>
          <w:color w:val="auto"/>
        </w:rPr>
        <w:t xml:space="preserve"> des ressources financières (</w:t>
      </w:r>
      <w:r w:rsidRPr="00A22F16">
        <w:rPr>
          <w:rFonts w:asciiTheme="minorHAnsi" w:hAnsiTheme="minorHAnsi"/>
          <w:color w:val="31849B" w:themeColor="accent5" w:themeShade="BF"/>
        </w:rPr>
        <w:t>bms.ofrm.fbp@undp.org</w:t>
      </w:r>
      <w:r w:rsidR="00A84285" w:rsidRPr="00A22F16">
        <w:rPr>
          <w:rFonts w:asciiTheme="minorHAnsi" w:hAnsiTheme="minorHAnsi"/>
          <w:color w:val="auto"/>
        </w:rPr>
        <w:t>).</w:t>
      </w:r>
    </w:p>
    <w:p w14:paraId="0A5D7072" w14:textId="77777777" w:rsidR="001C77BC" w:rsidRPr="00A22F16" w:rsidRDefault="002C2248">
      <w:pPr>
        <w:spacing w:after="0" w:line="259" w:lineRule="auto"/>
        <w:ind w:left="0" w:right="0" w:firstLine="0"/>
        <w:jc w:val="left"/>
        <w:rPr>
          <w:rFonts w:asciiTheme="minorHAnsi" w:hAnsiTheme="minorHAnsi"/>
          <w:color w:val="auto"/>
        </w:rPr>
      </w:pPr>
      <w:r w:rsidRPr="00A22F16">
        <w:rPr>
          <w:rFonts w:asciiTheme="minorHAnsi" w:hAnsiTheme="minorHAnsi"/>
          <w:color w:val="auto"/>
        </w:rPr>
        <w:t xml:space="preserve"> </w:t>
      </w:r>
    </w:p>
    <w:p w14:paraId="6F89352F" w14:textId="77777777" w:rsidR="000C0D76" w:rsidRPr="00A22F16" w:rsidRDefault="000C0D76" w:rsidP="000C0D76">
      <w:pPr>
        <w:pStyle w:val="ListParagraph"/>
        <w:rPr>
          <w:rFonts w:asciiTheme="minorHAnsi" w:hAnsiTheme="minorHAnsi"/>
          <w:color w:val="auto"/>
        </w:rPr>
      </w:pPr>
    </w:p>
    <w:p w14:paraId="7DCA49BA" w14:textId="77777777" w:rsidR="001C77BC" w:rsidRPr="00A22F16" w:rsidRDefault="002C2248">
      <w:pPr>
        <w:pStyle w:val="Heading1"/>
        <w:ind w:left="-5"/>
        <w:rPr>
          <w:rFonts w:asciiTheme="minorHAnsi" w:hAnsiTheme="minorHAnsi"/>
          <w:color w:val="auto"/>
        </w:rPr>
      </w:pPr>
      <w:r w:rsidRPr="00A22F16">
        <w:rPr>
          <w:rFonts w:asciiTheme="minorHAnsi" w:hAnsiTheme="minorHAnsi"/>
          <w:color w:val="auto"/>
        </w:rPr>
        <w:t>Système de prix universel</w:t>
      </w:r>
    </w:p>
    <w:p w14:paraId="547B55F0" w14:textId="77777777" w:rsidR="001C77BC" w:rsidRPr="00A22F16" w:rsidRDefault="002C2248">
      <w:pPr>
        <w:spacing w:after="21" w:line="259" w:lineRule="auto"/>
        <w:ind w:left="0" w:right="0" w:firstLine="0"/>
        <w:jc w:val="left"/>
        <w:rPr>
          <w:rFonts w:asciiTheme="minorHAnsi" w:hAnsiTheme="minorHAnsi"/>
          <w:color w:val="auto"/>
        </w:rPr>
      </w:pPr>
      <w:r w:rsidRPr="00A22F16">
        <w:rPr>
          <w:rFonts w:asciiTheme="minorHAnsi" w:hAnsiTheme="minorHAnsi"/>
          <w:color w:val="auto"/>
        </w:rPr>
        <w:t xml:space="preserve"> </w:t>
      </w:r>
    </w:p>
    <w:p w14:paraId="1A9CAB49" w14:textId="68F75EB6" w:rsidR="001C77BC" w:rsidRPr="00A22F16" w:rsidRDefault="5AF0F79B" w:rsidP="005B3009">
      <w:pPr>
        <w:pStyle w:val="ListParagraph"/>
        <w:numPr>
          <w:ilvl w:val="0"/>
          <w:numId w:val="1"/>
        </w:numPr>
        <w:ind w:right="0"/>
        <w:rPr>
          <w:rFonts w:asciiTheme="minorHAnsi" w:hAnsiTheme="minorHAnsi"/>
          <w:color w:val="auto"/>
        </w:rPr>
      </w:pPr>
      <w:r w:rsidRPr="00A22F16">
        <w:rPr>
          <w:rFonts w:asciiTheme="minorHAnsi" w:hAnsiTheme="minorHAnsi"/>
          <w:color w:val="auto"/>
        </w:rPr>
        <w:t xml:space="preserve">Afin d’assurer le remboursement de tous les coûts connexes, des frais basés sur les transactions ont été établis au moyen du </w:t>
      </w:r>
      <w:r w:rsidRPr="00A22F16">
        <w:rPr>
          <w:rFonts w:asciiTheme="minorHAnsi" w:hAnsiTheme="minorHAnsi"/>
          <w:b/>
          <w:bCs/>
          <w:color w:val="auto"/>
        </w:rPr>
        <w:t>système de prix universel</w:t>
      </w:r>
      <w:r w:rsidRPr="00A22F16">
        <w:rPr>
          <w:rFonts w:asciiTheme="minorHAnsi" w:hAnsiTheme="minorHAnsi"/>
          <w:color w:val="auto"/>
        </w:rPr>
        <w:t xml:space="preserve">, qui comprend un menu de services types disponibles aux entités des Nations Unies à partir de tous les bureaux du PNUD. Le système de prix universel est mis à </w:t>
      </w:r>
      <w:r w:rsidR="00CD3A57" w:rsidRPr="00A22F16">
        <w:rPr>
          <w:rFonts w:asciiTheme="minorHAnsi" w:hAnsiTheme="minorHAnsi"/>
          <w:color w:val="auto"/>
        </w:rPr>
        <w:t>jour par le Bureau de la gestion/le Bureau</w:t>
      </w:r>
      <w:r w:rsidRPr="00A22F16">
        <w:rPr>
          <w:rFonts w:asciiTheme="minorHAnsi" w:hAnsiTheme="minorHAnsi"/>
          <w:color w:val="auto"/>
        </w:rPr>
        <w:t xml:space="preserve"> des ressources financières une </w:t>
      </w:r>
      <w:r w:rsidRPr="00A22F16">
        <w:rPr>
          <w:rFonts w:asciiTheme="minorHAnsi" w:hAnsiTheme="minorHAnsi"/>
          <w:color w:val="auto"/>
        </w:rPr>
        <w:lastRenderedPageBreak/>
        <w:t>fois par an. Les taux du système de prix universel représentent un aperçu de la liste standard des services offerts aux institutions partenaires et de leurs coûts correspondants. Les bureaux qui souhaitent fournir des informations en retour sur les services et les frais, ou qui exigent davantage d’éclaircissements, doivent contacter leur responsable de la coordination en matière de partenariats d’affaires financiers avec le Bureau de la gestion</w:t>
      </w:r>
      <w:r w:rsidR="00757060" w:rsidRPr="00A22F16">
        <w:rPr>
          <w:rFonts w:asciiTheme="minorHAnsi" w:hAnsiTheme="minorHAnsi"/>
          <w:color w:val="auto"/>
        </w:rPr>
        <w:t>/le Bureau</w:t>
      </w:r>
      <w:r w:rsidRPr="00A22F16">
        <w:rPr>
          <w:rFonts w:asciiTheme="minorHAnsi" w:hAnsiTheme="minorHAnsi"/>
          <w:color w:val="auto"/>
        </w:rPr>
        <w:t xml:space="preserve"> des ressources financières.</w:t>
      </w:r>
    </w:p>
    <w:p w14:paraId="0763D3DC" w14:textId="77777777" w:rsidR="001C77BC" w:rsidRPr="00A22F16" w:rsidRDefault="002C2248">
      <w:pPr>
        <w:spacing w:after="21" w:line="259" w:lineRule="auto"/>
        <w:ind w:left="720" w:right="0" w:firstLine="0"/>
        <w:jc w:val="left"/>
        <w:rPr>
          <w:rFonts w:asciiTheme="minorHAnsi" w:hAnsiTheme="minorHAnsi"/>
          <w:color w:val="auto"/>
        </w:rPr>
      </w:pPr>
      <w:r w:rsidRPr="00A22F16">
        <w:rPr>
          <w:rFonts w:asciiTheme="minorHAnsi" w:hAnsiTheme="minorHAnsi"/>
          <w:color w:val="auto"/>
        </w:rPr>
        <w:t xml:space="preserve"> </w:t>
      </w:r>
    </w:p>
    <w:p w14:paraId="1BC34536" w14:textId="11DDD313" w:rsidR="001C77BC" w:rsidRPr="00A22F16" w:rsidRDefault="5AF0F79B" w:rsidP="005B3009">
      <w:pPr>
        <w:numPr>
          <w:ilvl w:val="0"/>
          <w:numId w:val="1"/>
        </w:numPr>
        <w:ind w:right="0" w:hanging="360"/>
        <w:rPr>
          <w:rFonts w:asciiTheme="minorHAnsi" w:hAnsiTheme="minorHAnsi"/>
          <w:color w:val="auto"/>
        </w:rPr>
      </w:pPr>
      <w:r w:rsidRPr="00A22F16">
        <w:rPr>
          <w:rFonts w:asciiTheme="minorHAnsi" w:hAnsiTheme="minorHAnsi"/>
          <w:color w:val="auto"/>
        </w:rPr>
        <w:t>Les inducteurs de coûts des services du système de prix universel sont les suivants : a) Salaires du personnel ; b) temps passé par le personnel à fournir des services de transactio</w:t>
      </w:r>
      <w:r w:rsidR="007625DB" w:rsidRPr="00A22F16">
        <w:rPr>
          <w:rFonts w:asciiTheme="minorHAnsi" w:hAnsiTheme="minorHAnsi"/>
          <w:color w:val="auto"/>
        </w:rPr>
        <w:t>ns, et c) </w:t>
      </w:r>
      <w:r w:rsidR="00A22F16" w:rsidRPr="00A22F16">
        <w:rPr>
          <w:rFonts w:asciiTheme="minorHAnsi" w:hAnsiTheme="minorHAnsi"/>
          <w:color w:val="auto"/>
        </w:rPr>
        <w:t>en ce qui concerne la part des</w:t>
      </w:r>
      <w:r w:rsidR="007625DB" w:rsidRPr="00A22F16">
        <w:rPr>
          <w:rFonts w:asciiTheme="minorHAnsi" w:hAnsiTheme="minorHAnsi"/>
          <w:color w:val="auto"/>
        </w:rPr>
        <w:t xml:space="preserve"> frais généraux d’exploitation tels que les locaux à bureaux et l’utilisation des bureaux essentiels de matériel et de fournitures</w:t>
      </w:r>
      <w:r w:rsidRPr="00A22F16">
        <w:rPr>
          <w:rFonts w:asciiTheme="minorHAnsi" w:hAnsiTheme="minorHAnsi"/>
          <w:color w:val="auto"/>
        </w:rPr>
        <w:t xml:space="preserve">. Les systèmes de prix universels montrent les derniers coûts de </w:t>
      </w:r>
      <w:proofErr w:type="gramStart"/>
      <w:r w:rsidRPr="00A22F16">
        <w:rPr>
          <w:rFonts w:asciiTheme="minorHAnsi" w:hAnsiTheme="minorHAnsi"/>
          <w:color w:val="auto"/>
        </w:rPr>
        <w:t>salaires pro</w:t>
      </w:r>
      <w:proofErr w:type="gramEnd"/>
      <w:r w:rsidRPr="00A22F16">
        <w:rPr>
          <w:rFonts w:asciiTheme="minorHAnsi" w:hAnsiTheme="minorHAnsi"/>
          <w:color w:val="auto"/>
        </w:rPr>
        <w:t xml:space="preserve"> forma disponibles pour chaque bureau pays du PNUD applicables au moment de leur publication. En outre, la répartition du temps du personnel montre les coûts totaux, notamment les droits aux congés. Le calcul du système de prix universel se base sur un certain nombre de services types prescrits (actuellement 26).</w:t>
      </w:r>
    </w:p>
    <w:p w14:paraId="2D42FB7D" w14:textId="77777777" w:rsidR="001C77BC" w:rsidRPr="00A22F16" w:rsidRDefault="001C77BC">
      <w:pPr>
        <w:spacing w:after="46" w:line="259" w:lineRule="auto"/>
        <w:ind w:left="720" w:right="0" w:firstLine="0"/>
        <w:jc w:val="left"/>
        <w:rPr>
          <w:rFonts w:asciiTheme="minorHAnsi" w:hAnsiTheme="minorHAnsi"/>
          <w:color w:val="auto"/>
        </w:rPr>
      </w:pPr>
    </w:p>
    <w:p w14:paraId="7DB6C033" w14:textId="77777777"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 xml:space="preserve">Il y a quatre catégories de systèmes de prix universels disponibles pour utilisation par les bureaux du PNUD sur la base de </w:t>
      </w:r>
      <w:r w:rsidR="00A84285" w:rsidRPr="00A22F16">
        <w:rPr>
          <w:rFonts w:asciiTheme="minorHAnsi" w:hAnsiTheme="minorHAnsi"/>
          <w:color w:val="auto"/>
        </w:rPr>
        <w:t>la classification des bureaux :</w:t>
      </w:r>
    </w:p>
    <w:p w14:paraId="66F863E7" w14:textId="59F2A61E" w:rsidR="001C77BC" w:rsidRPr="00A22F16" w:rsidRDefault="002C2248" w:rsidP="005B3009">
      <w:pPr>
        <w:numPr>
          <w:ilvl w:val="1"/>
          <w:numId w:val="1"/>
        </w:numPr>
        <w:ind w:right="0" w:firstLine="0"/>
        <w:rPr>
          <w:rFonts w:asciiTheme="minorHAnsi" w:hAnsiTheme="minorHAnsi"/>
          <w:color w:val="auto"/>
        </w:rPr>
      </w:pPr>
      <w:r w:rsidRPr="00A22F16">
        <w:rPr>
          <w:rFonts w:asciiTheme="minorHAnsi" w:hAnsiTheme="minorHAnsi"/>
          <w:color w:val="auto"/>
        </w:rPr>
        <w:t>Les bureaux</w:t>
      </w:r>
      <w:r w:rsidR="00953055" w:rsidRPr="00A22F16">
        <w:rPr>
          <w:rFonts w:asciiTheme="minorHAnsi" w:hAnsiTheme="minorHAnsi"/>
          <w:color w:val="auto"/>
        </w:rPr>
        <w:t xml:space="preserve"> </w:t>
      </w:r>
      <w:r w:rsidRPr="00A22F16">
        <w:rPr>
          <w:rFonts w:asciiTheme="minorHAnsi" w:hAnsiTheme="minorHAnsi"/>
          <w:color w:val="auto"/>
        </w:rPr>
        <w:t>pays se trouvant dans des situations général</w:t>
      </w:r>
      <w:r w:rsidR="00A84285" w:rsidRPr="00A22F16">
        <w:rPr>
          <w:rFonts w:asciiTheme="minorHAnsi" w:hAnsiTheme="minorHAnsi"/>
          <w:color w:val="auto"/>
        </w:rPr>
        <w:t>es en matière de développement</w:t>
      </w:r>
    </w:p>
    <w:p w14:paraId="621D8D07" w14:textId="1C42D9FD" w:rsidR="001C77BC" w:rsidRPr="00A22F16" w:rsidRDefault="002C2248" w:rsidP="005B3009">
      <w:pPr>
        <w:numPr>
          <w:ilvl w:val="1"/>
          <w:numId w:val="1"/>
        </w:numPr>
        <w:ind w:right="0" w:firstLine="0"/>
        <w:rPr>
          <w:rFonts w:asciiTheme="minorHAnsi" w:hAnsiTheme="minorHAnsi"/>
          <w:color w:val="auto"/>
        </w:rPr>
      </w:pPr>
      <w:r w:rsidRPr="00A22F16">
        <w:rPr>
          <w:rFonts w:asciiTheme="minorHAnsi" w:hAnsiTheme="minorHAnsi"/>
          <w:color w:val="auto"/>
        </w:rPr>
        <w:t>Les bureaux pays se trouvant dans des situations spécial</w:t>
      </w:r>
      <w:r w:rsidR="00A84285" w:rsidRPr="00A22F16">
        <w:rPr>
          <w:rFonts w:asciiTheme="minorHAnsi" w:hAnsiTheme="minorHAnsi"/>
          <w:color w:val="auto"/>
        </w:rPr>
        <w:t>es en matière de développement</w:t>
      </w:r>
    </w:p>
    <w:p w14:paraId="22B825E7" w14:textId="77777777" w:rsidR="00E4753C" w:rsidRPr="00A22F16" w:rsidRDefault="00A84285" w:rsidP="005B3009">
      <w:pPr>
        <w:numPr>
          <w:ilvl w:val="1"/>
          <w:numId w:val="1"/>
        </w:numPr>
        <w:ind w:right="0" w:firstLine="0"/>
        <w:rPr>
          <w:rFonts w:asciiTheme="minorHAnsi" w:hAnsiTheme="minorHAnsi"/>
          <w:color w:val="auto"/>
        </w:rPr>
      </w:pPr>
      <w:r w:rsidRPr="00A22F16">
        <w:rPr>
          <w:rFonts w:asciiTheme="minorHAnsi" w:hAnsiTheme="minorHAnsi"/>
          <w:color w:val="auto"/>
        </w:rPr>
        <w:t>Bureaux de représentation</w:t>
      </w:r>
    </w:p>
    <w:p w14:paraId="0D92D907" w14:textId="66AEDB0D" w:rsidR="001C77BC" w:rsidRPr="00A22F16" w:rsidRDefault="00C524D1" w:rsidP="005B3009">
      <w:pPr>
        <w:numPr>
          <w:ilvl w:val="1"/>
          <w:numId w:val="1"/>
        </w:numPr>
        <w:ind w:right="0" w:firstLine="0"/>
        <w:rPr>
          <w:rFonts w:asciiTheme="minorHAnsi" w:hAnsiTheme="minorHAnsi"/>
          <w:color w:val="auto"/>
        </w:rPr>
      </w:pPr>
      <w:r w:rsidRPr="00A22F16">
        <w:rPr>
          <w:rFonts w:asciiTheme="minorHAnsi" w:hAnsiTheme="minorHAnsi"/>
          <w:color w:val="auto"/>
        </w:rPr>
        <w:t xml:space="preserve">Le bureau des </w:t>
      </w:r>
      <w:r w:rsidR="00E4753C" w:rsidRPr="00A22F16">
        <w:rPr>
          <w:rFonts w:asciiTheme="minorHAnsi" w:hAnsiTheme="minorHAnsi"/>
          <w:color w:val="auto"/>
        </w:rPr>
        <w:t>Volontai</w:t>
      </w:r>
      <w:r w:rsidR="00A84285" w:rsidRPr="00A22F16">
        <w:rPr>
          <w:rFonts w:asciiTheme="minorHAnsi" w:hAnsiTheme="minorHAnsi"/>
          <w:color w:val="auto"/>
        </w:rPr>
        <w:t xml:space="preserve">res des Nations Unies </w:t>
      </w:r>
      <w:r w:rsidRPr="00A22F16">
        <w:rPr>
          <w:rFonts w:asciiTheme="minorHAnsi" w:hAnsiTheme="minorHAnsi"/>
          <w:color w:val="auto"/>
        </w:rPr>
        <w:t xml:space="preserve">en </w:t>
      </w:r>
      <w:r w:rsidR="00A84285" w:rsidRPr="00A22F16">
        <w:rPr>
          <w:rFonts w:asciiTheme="minorHAnsi" w:hAnsiTheme="minorHAnsi"/>
          <w:color w:val="auto"/>
        </w:rPr>
        <w:t>Allemagne</w:t>
      </w:r>
    </w:p>
    <w:p w14:paraId="559C874E" w14:textId="77777777" w:rsidR="001C77BC" w:rsidRPr="00A22F16" w:rsidRDefault="002C2248">
      <w:pPr>
        <w:spacing w:after="20" w:line="259" w:lineRule="auto"/>
        <w:ind w:left="0" w:right="0" w:firstLine="0"/>
        <w:jc w:val="left"/>
        <w:rPr>
          <w:rFonts w:asciiTheme="minorHAnsi" w:hAnsiTheme="minorHAnsi"/>
          <w:color w:val="auto"/>
        </w:rPr>
      </w:pPr>
      <w:r w:rsidRPr="00A22F16">
        <w:rPr>
          <w:rFonts w:asciiTheme="minorHAnsi" w:hAnsiTheme="minorHAnsi"/>
          <w:color w:val="auto"/>
        </w:rPr>
        <w:t xml:space="preserve"> </w:t>
      </w:r>
    </w:p>
    <w:p w14:paraId="70FFAA27" w14:textId="5D166F7E"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La liste des pays se trouvant dans des situations spéciales en matière de développement est examinée et modifiée une fois par an par le Bureau de la gestion des ressources financières en consultation avec les bureaux régionaux, et comprend des pays en crise ou se trouvant dans d</w:t>
      </w:r>
      <w:r w:rsidR="00A84285" w:rsidRPr="00A22F16">
        <w:rPr>
          <w:rFonts w:asciiTheme="minorHAnsi" w:hAnsiTheme="minorHAnsi"/>
          <w:color w:val="auto"/>
        </w:rPr>
        <w:t>’autres circonstances pénibles.</w:t>
      </w:r>
    </w:p>
    <w:p w14:paraId="1B2F8CD0" w14:textId="77777777" w:rsidR="001C77BC" w:rsidRPr="00A22F16" w:rsidRDefault="001C77BC">
      <w:pPr>
        <w:spacing w:after="21" w:line="259" w:lineRule="auto"/>
        <w:ind w:left="720" w:right="0" w:firstLine="0"/>
        <w:jc w:val="left"/>
        <w:rPr>
          <w:rFonts w:asciiTheme="minorHAnsi" w:hAnsiTheme="minorHAnsi"/>
          <w:color w:val="auto"/>
        </w:rPr>
      </w:pPr>
    </w:p>
    <w:p w14:paraId="0A39B7BF" w14:textId="77777777"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 xml:space="preserve">Le coût indiqué dans le système de prix universel est imputé à chaque transaction de service, sur la base de la classification de pays en développement général (les pays sont désignés comme élevé, moyen-élevé, moyen-faible ou faible coût) ou en développement spécial. Voir </w:t>
      </w:r>
      <w:hyperlink r:id="rId15">
        <w:r w:rsidRPr="00A22F16">
          <w:rPr>
            <w:rStyle w:val="Hyperlink"/>
            <w:rFonts w:asciiTheme="minorHAnsi" w:hAnsiTheme="minorHAnsi"/>
            <w:color w:val="31849B" w:themeColor="accent5" w:themeShade="BF"/>
          </w:rPr>
          <w:t>système de gestion budgétaire/Bureau de la gestion des ressources financières/partenariat d</w:t>
        </w:r>
        <w:r w:rsidR="00A84285" w:rsidRPr="00A22F16">
          <w:rPr>
            <w:rStyle w:val="Hyperlink"/>
            <w:rFonts w:asciiTheme="minorHAnsi" w:hAnsiTheme="minorHAnsi"/>
            <w:color w:val="31849B" w:themeColor="accent5" w:themeShade="BF"/>
          </w:rPr>
          <w:t>’</w:t>
        </w:r>
        <w:r w:rsidRPr="00A22F16">
          <w:rPr>
            <w:rStyle w:val="Hyperlink"/>
            <w:rFonts w:asciiTheme="minorHAnsi" w:hAnsiTheme="minorHAnsi"/>
            <w:color w:val="31849B" w:themeColor="accent5" w:themeShade="BF"/>
          </w:rPr>
          <w:t>affaires financier système de prix universel</w:t>
        </w:r>
      </w:hyperlink>
      <w:r w:rsidRPr="00A22F16">
        <w:rPr>
          <w:rFonts w:asciiTheme="minorHAnsi" w:hAnsiTheme="minorHAnsi"/>
          <w:color w:val="auto"/>
        </w:rPr>
        <w:t xml:space="preserve"> pour une description détaillée des services inclus dans le système de prix universel, des instructions relatives à leur utilisation et les classifications des bureaux du PNUD.</w:t>
      </w:r>
    </w:p>
    <w:p w14:paraId="634AC5FE" w14:textId="77777777" w:rsidR="001C77BC" w:rsidRPr="00A22F16" w:rsidRDefault="002C2248">
      <w:pPr>
        <w:spacing w:after="42" w:line="259" w:lineRule="auto"/>
        <w:ind w:left="720" w:right="0" w:firstLine="0"/>
        <w:jc w:val="left"/>
        <w:rPr>
          <w:rFonts w:asciiTheme="minorHAnsi" w:hAnsiTheme="minorHAnsi"/>
          <w:color w:val="auto"/>
        </w:rPr>
      </w:pPr>
      <w:r w:rsidRPr="00A22F16">
        <w:rPr>
          <w:rFonts w:asciiTheme="minorHAnsi" w:hAnsiTheme="minorHAnsi"/>
          <w:color w:val="auto"/>
        </w:rPr>
        <w:t xml:space="preserve"> </w:t>
      </w:r>
    </w:p>
    <w:p w14:paraId="469A9689" w14:textId="77777777"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Même s</w:t>
      </w:r>
      <w:r w:rsidR="00A84285" w:rsidRPr="00A22F16">
        <w:rPr>
          <w:rFonts w:asciiTheme="minorHAnsi" w:hAnsiTheme="minorHAnsi"/>
          <w:color w:val="auto"/>
        </w:rPr>
        <w:t>’</w:t>
      </w:r>
      <w:r w:rsidRPr="00A22F16">
        <w:rPr>
          <w:rFonts w:asciiTheme="minorHAnsi" w:hAnsiTheme="minorHAnsi"/>
          <w:color w:val="auto"/>
        </w:rPr>
        <w:t>il est spécialement destiné à des services types aux institutions des Nations Unies dont les prix sont précisés, le système de prix universel peut être utilisé pour le remboursement du coût de tout service basé sur les transactions (voir</w:t>
      </w:r>
      <w:r w:rsidR="00A84285" w:rsidRPr="00A22F16">
        <w:rPr>
          <w:rFonts w:asciiTheme="minorHAnsi" w:hAnsiTheme="minorHAnsi"/>
          <w:color w:val="auto"/>
        </w:rPr>
        <w:t xml:space="preserve"> paragraphes 25-27 ci-dessous).</w:t>
      </w:r>
    </w:p>
    <w:p w14:paraId="338DE9E0" w14:textId="77777777" w:rsidR="001C77BC" w:rsidRPr="00A22F16" w:rsidRDefault="001C77BC">
      <w:pPr>
        <w:spacing w:after="0" w:line="259" w:lineRule="auto"/>
        <w:ind w:left="720" w:right="0" w:firstLine="0"/>
        <w:jc w:val="left"/>
        <w:rPr>
          <w:rFonts w:asciiTheme="minorHAnsi" w:hAnsiTheme="minorHAnsi"/>
          <w:color w:val="auto"/>
        </w:rPr>
      </w:pPr>
    </w:p>
    <w:p w14:paraId="665203A0" w14:textId="77777777"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lastRenderedPageBreak/>
        <w:t>Le système de prix universel est conçu pour couvrir les services types (contrairement à des situations extrêmement complexes ou nouvelles qui sont couvertes au titre du système de prix loc</w:t>
      </w:r>
      <w:r w:rsidR="00A84285" w:rsidRPr="00A22F16">
        <w:rPr>
          <w:rFonts w:asciiTheme="minorHAnsi" w:hAnsiTheme="minorHAnsi"/>
          <w:color w:val="auto"/>
        </w:rPr>
        <w:t>aux tel que décrit ci-dessous).</w:t>
      </w:r>
    </w:p>
    <w:p w14:paraId="7361F560" w14:textId="77777777" w:rsidR="001C77BC" w:rsidRPr="00A22F16" w:rsidRDefault="001C77BC">
      <w:pPr>
        <w:spacing w:after="46" w:line="259" w:lineRule="auto"/>
        <w:ind w:left="720" w:right="0" w:firstLine="0"/>
        <w:jc w:val="left"/>
        <w:rPr>
          <w:rFonts w:asciiTheme="minorHAnsi" w:hAnsiTheme="minorHAnsi"/>
          <w:color w:val="auto"/>
        </w:rPr>
      </w:pPr>
    </w:p>
    <w:p w14:paraId="100F656E" w14:textId="17C8E14B"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Les écarts par rapport aux taux publiés du système de prix universel pour les services ty</w:t>
      </w:r>
      <w:r w:rsidR="007434BA" w:rsidRPr="00A22F16">
        <w:rPr>
          <w:rFonts w:asciiTheme="minorHAnsi" w:hAnsiTheme="minorHAnsi"/>
          <w:color w:val="auto"/>
        </w:rPr>
        <w:t>pes</w:t>
      </w:r>
      <w:r w:rsidRPr="00A22F16">
        <w:rPr>
          <w:rFonts w:asciiTheme="minorHAnsi" w:hAnsiTheme="minorHAnsi"/>
          <w:color w:val="auto"/>
        </w:rPr>
        <w:t xml:space="preserve"> sont soumis à l</w:t>
      </w:r>
      <w:r w:rsidR="00A84285" w:rsidRPr="00A22F16">
        <w:rPr>
          <w:rFonts w:asciiTheme="minorHAnsi" w:hAnsiTheme="minorHAnsi"/>
          <w:color w:val="auto"/>
        </w:rPr>
        <w:t>’</w:t>
      </w:r>
      <w:r w:rsidRPr="00A22F16">
        <w:rPr>
          <w:rFonts w:asciiTheme="minorHAnsi" w:hAnsiTheme="minorHAnsi"/>
          <w:color w:val="auto"/>
        </w:rPr>
        <w:t>approbation du Bureau de la gestion du Bureau de la gestion des ressources financières (</w:t>
      </w:r>
      <w:r w:rsidRPr="00A22F16">
        <w:rPr>
          <w:rFonts w:asciiTheme="minorHAnsi" w:hAnsiTheme="minorHAnsi"/>
          <w:color w:val="548DD4" w:themeColor="text2" w:themeTint="99"/>
        </w:rPr>
        <w:t>bms.ofrm.fbp@undp.org</w:t>
      </w:r>
      <w:r w:rsidR="00A84285" w:rsidRPr="00A22F16">
        <w:rPr>
          <w:rFonts w:asciiTheme="minorHAnsi" w:hAnsiTheme="minorHAnsi"/>
          <w:color w:val="auto"/>
        </w:rPr>
        <w:t xml:space="preserve">). </w:t>
      </w:r>
      <w:r w:rsidRPr="00A22F16">
        <w:rPr>
          <w:rFonts w:asciiTheme="minorHAnsi" w:hAnsiTheme="minorHAnsi"/>
          <w:color w:val="auto"/>
        </w:rPr>
        <w:t>Au vu de la préférence des institutions des Nations Unies pour les taux normalisés, les écarts seront seulement considérés lorsqu</w:t>
      </w:r>
      <w:r w:rsidR="00A84285" w:rsidRPr="00A22F16">
        <w:rPr>
          <w:rFonts w:asciiTheme="minorHAnsi" w:hAnsiTheme="minorHAnsi"/>
          <w:color w:val="auto"/>
        </w:rPr>
        <w:t>’</w:t>
      </w:r>
      <w:r w:rsidRPr="00A22F16">
        <w:rPr>
          <w:rFonts w:asciiTheme="minorHAnsi" w:hAnsiTheme="minorHAnsi"/>
          <w:color w:val="auto"/>
        </w:rPr>
        <w:t>ils sont accompagnés d</w:t>
      </w:r>
      <w:r w:rsidR="00A84285" w:rsidRPr="00A22F16">
        <w:rPr>
          <w:rFonts w:asciiTheme="minorHAnsi" w:hAnsiTheme="minorHAnsi"/>
          <w:color w:val="auto"/>
        </w:rPr>
        <w:t>’</w:t>
      </w:r>
      <w:r w:rsidRPr="00A22F16">
        <w:rPr>
          <w:rFonts w:asciiTheme="minorHAnsi" w:hAnsiTheme="minorHAnsi"/>
          <w:color w:val="auto"/>
        </w:rPr>
        <w:t>informations clairement articulées et justifiées, et qui auront été discutées auparavant avec l</w:t>
      </w:r>
      <w:r w:rsidR="00A84285" w:rsidRPr="00A22F16">
        <w:rPr>
          <w:rFonts w:asciiTheme="minorHAnsi" w:hAnsiTheme="minorHAnsi"/>
          <w:color w:val="auto"/>
        </w:rPr>
        <w:t>’</w:t>
      </w:r>
      <w:r w:rsidRPr="00A22F16">
        <w:rPr>
          <w:rFonts w:asciiTheme="minorHAnsi" w:hAnsiTheme="minorHAnsi"/>
          <w:color w:val="auto"/>
        </w:rPr>
        <w:t>équipe pays des Nations Unies ou l</w:t>
      </w:r>
      <w:r w:rsidR="00A84285" w:rsidRPr="00A22F16">
        <w:rPr>
          <w:rFonts w:asciiTheme="minorHAnsi" w:hAnsiTheme="minorHAnsi"/>
          <w:color w:val="auto"/>
        </w:rPr>
        <w:t>’</w:t>
      </w:r>
      <w:r w:rsidRPr="00A22F16">
        <w:rPr>
          <w:rFonts w:asciiTheme="minorHAnsi" w:hAnsiTheme="minorHAnsi"/>
          <w:color w:val="auto"/>
        </w:rPr>
        <w:t>institu</w:t>
      </w:r>
      <w:r w:rsidR="00A84285" w:rsidRPr="00A22F16">
        <w:rPr>
          <w:rFonts w:asciiTheme="minorHAnsi" w:hAnsiTheme="minorHAnsi"/>
          <w:color w:val="auto"/>
        </w:rPr>
        <w:t>tion requérante.</w:t>
      </w:r>
    </w:p>
    <w:p w14:paraId="39B2E2AF" w14:textId="77777777" w:rsidR="001C77BC" w:rsidRPr="00A22F16" w:rsidRDefault="001C77BC">
      <w:pPr>
        <w:spacing w:after="44" w:line="259" w:lineRule="auto"/>
        <w:ind w:left="720" w:right="0" w:firstLine="0"/>
        <w:jc w:val="left"/>
        <w:rPr>
          <w:rFonts w:asciiTheme="minorHAnsi" w:hAnsiTheme="minorHAnsi"/>
          <w:color w:val="auto"/>
        </w:rPr>
      </w:pPr>
    </w:p>
    <w:p w14:paraId="1EAF367B" w14:textId="6D8DE991" w:rsidR="001C77BC" w:rsidRPr="00A22F16" w:rsidRDefault="002C2248" w:rsidP="005B3009">
      <w:pPr>
        <w:numPr>
          <w:ilvl w:val="0"/>
          <w:numId w:val="1"/>
        </w:numPr>
        <w:ind w:right="0" w:hanging="360"/>
        <w:rPr>
          <w:rFonts w:asciiTheme="minorHAnsi" w:hAnsiTheme="minorHAnsi"/>
          <w:color w:val="auto"/>
        </w:rPr>
      </w:pPr>
      <w:r w:rsidRPr="00A22F16">
        <w:rPr>
          <w:rFonts w:asciiTheme="minorHAnsi" w:hAnsiTheme="minorHAnsi"/>
          <w:color w:val="auto"/>
        </w:rPr>
        <w:t>Dans le cadre de leur fonction de supervision, les bureaux régionaux sont chargés de superviser l</w:t>
      </w:r>
      <w:r w:rsidR="00A84285" w:rsidRPr="00A22F16">
        <w:rPr>
          <w:rFonts w:asciiTheme="minorHAnsi" w:hAnsiTheme="minorHAnsi"/>
          <w:color w:val="auto"/>
        </w:rPr>
        <w:t>’</w:t>
      </w:r>
      <w:r w:rsidRPr="00A22F16">
        <w:rPr>
          <w:rFonts w:asciiTheme="minorHAnsi" w:hAnsiTheme="minorHAnsi"/>
          <w:color w:val="auto"/>
        </w:rPr>
        <w:t>application des systèmes de prix universels par les bureaux de pays, et d</w:t>
      </w:r>
      <w:r w:rsidR="00A84285" w:rsidRPr="00A22F16">
        <w:rPr>
          <w:rFonts w:asciiTheme="minorHAnsi" w:hAnsiTheme="minorHAnsi"/>
          <w:color w:val="auto"/>
        </w:rPr>
        <w:t>’</w:t>
      </w:r>
      <w:r w:rsidRPr="00A22F16">
        <w:rPr>
          <w:rFonts w:asciiTheme="minorHAnsi" w:hAnsiTheme="minorHAnsi"/>
          <w:color w:val="auto"/>
        </w:rPr>
        <w:t>évaluer tout écart proposé. L</w:t>
      </w:r>
      <w:r w:rsidR="00A84285" w:rsidRPr="00A22F16">
        <w:rPr>
          <w:rFonts w:asciiTheme="minorHAnsi" w:hAnsiTheme="minorHAnsi"/>
          <w:color w:val="auto"/>
        </w:rPr>
        <w:t>’</w:t>
      </w:r>
      <w:r w:rsidRPr="00A22F16">
        <w:rPr>
          <w:rFonts w:asciiTheme="minorHAnsi" w:hAnsiTheme="minorHAnsi"/>
          <w:color w:val="auto"/>
        </w:rPr>
        <w:t>écart, une fois éclairci par le bureau régional, est soumis à l</w:t>
      </w:r>
      <w:r w:rsidR="00A84285" w:rsidRPr="00A22F16">
        <w:rPr>
          <w:rFonts w:asciiTheme="minorHAnsi" w:hAnsiTheme="minorHAnsi"/>
          <w:color w:val="auto"/>
        </w:rPr>
        <w:t>’</w:t>
      </w:r>
      <w:r w:rsidRPr="00A22F16">
        <w:rPr>
          <w:rFonts w:asciiTheme="minorHAnsi" w:hAnsiTheme="minorHAnsi"/>
          <w:color w:val="auto"/>
        </w:rPr>
        <w:t>approbation du Bureau de la gest</w:t>
      </w:r>
      <w:r w:rsidR="00A84285" w:rsidRPr="00A22F16">
        <w:rPr>
          <w:rFonts w:asciiTheme="minorHAnsi" w:hAnsiTheme="minorHAnsi"/>
          <w:color w:val="auto"/>
        </w:rPr>
        <w:t>ion des ressources financières.</w:t>
      </w:r>
    </w:p>
    <w:p w14:paraId="42C9DD88" w14:textId="77777777" w:rsidR="001C77BC" w:rsidRPr="00A22F16" w:rsidRDefault="001C77BC">
      <w:pPr>
        <w:spacing w:after="0" w:line="259" w:lineRule="auto"/>
        <w:ind w:left="0" w:right="0" w:firstLine="0"/>
        <w:jc w:val="left"/>
        <w:rPr>
          <w:rFonts w:asciiTheme="minorHAnsi" w:hAnsiTheme="minorHAnsi"/>
          <w:color w:val="auto"/>
        </w:rPr>
      </w:pPr>
    </w:p>
    <w:p w14:paraId="554483DF" w14:textId="77777777" w:rsidR="001C77BC" w:rsidRPr="00A22F16" w:rsidRDefault="002C2248">
      <w:pPr>
        <w:pStyle w:val="Heading1"/>
        <w:ind w:left="-5"/>
        <w:rPr>
          <w:rFonts w:asciiTheme="minorHAnsi" w:hAnsiTheme="minorHAnsi"/>
          <w:color w:val="auto"/>
        </w:rPr>
      </w:pPr>
      <w:r w:rsidRPr="00A22F16">
        <w:rPr>
          <w:rFonts w:asciiTheme="minorHAnsi" w:hAnsiTheme="minorHAnsi"/>
          <w:color w:val="auto"/>
        </w:rPr>
        <w:t>Système de prix locaux</w:t>
      </w:r>
    </w:p>
    <w:p w14:paraId="4083D735" w14:textId="77777777" w:rsidR="001C77BC" w:rsidRPr="00A22F16" w:rsidRDefault="001C77BC">
      <w:pPr>
        <w:spacing w:after="18" w:line="259" w:lineRule="auto"/>
        <w:ind w:left="0" w:right="0" w:firstLine="0"/>
        <w:jc w:val="left"/>
        <w:rPr>
          <w:rFonts w:asciiTheme="minorHAnsi" w:hAnsiTheme="minorHAnsi"/>
          <w:color w:val="auto"/>
        </w:rPr>
      </w:pPr>
    </w:p>
    <w:p w14:paraId="1CE3D3E3" w14:textId="14C61755" w:rsidR="001C77BC" w:rsidRPr="00A22F16" w:rsidRDefault="002C2248" w:rsidP="0024355A">
      <w:pPr>
        <w:pStyle w:val="ListParagraph"/>
        <w:numPr>
          <w:ilvl w:val="0"/>
          <w:numId w:val="1"/>
        </w:numPr>
        <w:ind w:right="0"/>
        <w:rPr>
          <w:rFonts w:asciiTheme="minorHAnsi" w:hAnsiTheme="minorHAnsi"/>
          <w:color w:val="auto"/>
        </w:rPr>
      </w:pPr>
      <w:r w:rsidRPr="00A22F16">
        <w:rPr>
          <w:rFonts w:asciiTheme="minorHAnsi" w:hAnsiTheme="minorHAnsi"/>
          <w:color w:val="auto"/>
        </w:rPr>
        <w:t>Outre les services types contenus dans le système de prix universel, il est souvent demandé au PNUD de fournir des services supplémentaires, non standards, à l</w:t>
      </w:r>
      <w:r w:rsidR="00A84285" w:rsidRPr="00A22F16">
        <w:rPr>
          <w:rFonts w:asciiTheme="minorHAnsi" w:hAnsiTheme="minorHAnsi"/>
          <w:color w:val="auto"/>
        </w:rPr>
        <w:t>’</w:t>
      </w:r>
      <w:r w:rsidRPr="00A22F16">
        <w:rPr>
          <w:rFonts w:asciiTheme="minorHAnsi" w:hAnsiTheme="minorHAnsi"/>
          <w:color w:val="auto"/>
        </w:rPr>
        <w:t xml:space="preserve">échelle des différents </w:t>
      </w:r>
      <w:proofErr w:type="gramStart"/>
      <w:r w:rsidRPr="00A22F16">
        <w:rPr>
          <w:rFonts w:asciiTheme="minorHAnsi" w:hAnsiTheme="minorHAnsi"/>
          <w:color w:val="auto"/>
        </w:rPr>
        <w:t>bureaux  pays</w:t>
      </w:r>
      <w:proofErr w:type="gramEnd"/>
      <w:r w:rsidRPr="00A22F16">
        <w:rPr>
          <w:rFonts w:asciiTheme="minorHAnsi" w:hAnsiTheme="minorHAnsi"/>
          <w:color w:val="auto"/>
        </w:rPr>
        <w:t>, ou inclus dans le système de prix universel. Comme par le passé, la fourniture de services ad hoc et de services non standards doit être convenue localement, et soumise aux capacités et aux considérations d</w:t>
      </w:r>
      <w:r w:rsidR="00A84285" w:rsidRPr="00A22F16">
        <w:rPr>
          <w:rFonts w:asciiTheme="minorHAnsi" w:hAnsiTheme="minorHAnsi"/>
          <w:color w:val="auto"/>
        </w:rPr>
        <w:t>’</w:t>
      </w:r>
      <w:r w:rsidRPr="00A22F16">
        <w:rPr>
          <w:rFonts w:asciiTheme="minorHAnsi" w:hAnsiTheme="minorHAnsi"/>
          <w:color w:val="auto"/>
        </w:rPr>
        <w:t xml:space="preserve">établissement des prix du pays avant la fourniture des services. Afin de recouvrer les coûts totaux de ces services, le bureau du PNUD peut établir un système de prix locaux pour les services courants, </w:t>
      </w:r>
      <w:r w:rsidRPr="00A22F16">
        <w:rPr>
          <w:rFonts w:asciiTheme="minorHAnsi" w:hAnsiTheme="minorHAnsi"/>
          <w:b/>
          <w:color w:val="auto"/>
        </w:rPr>
        <w:t>à négocier et convenir localement par les institutions participantes avant la fourniture des services</w:t>
      </w:r>
      <w:r w:rsidRPr="00A22F16">
        <w:rPr>
          <w:rFonts w:asciiTheme="minorHAnsi" w:hAnsiTheme="minorHAnsi"/>
          <w:color w:val="auto"/>
        </w:rPr>
        <w:t xml:space="preserve">. Un outil distinct est disponible pour faciliter la formulation locale des prix, dont la négociation relève de la responsabilité du bureau du PNUD concerné avec les institutions </w:t>
      </w:r>
      <w:r w:rsidR="00C37FEE" w:rsidRPr="00A22F16">
        <w:rPr>
          <w:rFonts w:asciiTheme="minorHAnsi" w:hAnsiTheme="minorHAnsi"/>
          <w:color w:val="auto"/>
        </w:rPr>
        <w:t>requérantes</w:t>
      </w:r>
      <w:r w:rsidRPr="00A22F16">
        <w:rPr>
          <w:rFonts w:asciiTheme="minorHAnsi" w:hAnsiTheme="minorHAnsi"/>
          <w:color w:val="auto"/>
        </w:rPr>
        <w:t xml:space="preserve"> ou l</w:t>
      </w:r>
      <w:r w:rsidR="00A84285" w:rsidRPr="00A22F16">
        <w:rPr>
          <w:rFonts w:asciiTheme="minorHAnsi" w:hAnsiTheme="minorHAnsi"/>
          <w:color w:val="auto"/>
        </w:rPr>
        <w:t>’</w:t>
      </w:r>
      <w:r w:rsidRPr="00A22F16">
        <w:rPr>
          <w:rFonts w:asciiTheme="minorHAnsi" w:hAnsiTheme="minorHAnsi"/>
          <w:color w:val="auto"/>
        </w:rPr>
        <w:t xml:space="preserve">équipe pays des Nations Unies (voir </w:t>
      </w:r>
      <w:hyperlink r:id="rId16">
        <w:r w:rsidRPr="00A22F16">
          <w:rPr>
            <w:rStyle w:val="Hyperlink"/>
            <w:rFonts w:asciiTheme="minorHAnsi" w:hAnsiTheme="minorHAnsi"/>
            <w:color w:val="31849B" w:themeColor="accent5" w:themeShade="BF"/>
          </w:rPr>
          <w:t>système de gestion budgétaire/Bureau de la gestion des ressources financières/partenariat d</w:t>
        </w:r>
        <w:r w:rsidR="00A84285" w:rsidRPr="00A22F16">
          <w:rPr>
            <w:rStyle w:val="Hyperlink"/>
            <w:rFonts w:asciiTheme="minorHAnsi" w:hAnsiTheme="minorHAnsi"/>
            <w:color w:val="31849B" w:themeColor="accent5" w:themeShade="BF"/>
          </w:rPr>
          <w:t>’</w:t>
        </w:r>
        <w:r w:rsidRPr="00A22F16">
          <w:rPr>
            <w:rStyle w:val="Hyperlink"/>
            <w:rFonts w:asciiTheme="minorHAnsi" w:hAnsiTheme="minorHAnsi"/>
            <w:color w:val="31849B" w:themeColor="accent5" w:themeShade="BF"/>
          </w:rPr>
          <w:t>affaires financier système de prix universel</w:t>
        </w:r>
      </w:hyperlink>
      <w:hyperlink r:id="rId17">
        <w:r w:rsidRPr="00A22F16">
          <w:rPr>
            <w:rFonts w:asciiTheme="minorHAnsi" w:hAnsiTheme="minorHAnsi"/>
            <w:color w:val="31849B" w:themeColor="accent5" w:themeShade="BF"/>
          </w:rPr>
          <w:t>)</w:t>
        </w:r>
      </w:hyperlink>
      <w:r w:rsidRPr="00A22F16">
        <w:rPr>
          <w:rFonts w:asciiTheme="minorHAnsi" w:hAnsiTheme="minorHAnsi"/>
          <w:color w:val="31849B" w:themeColor="accent5" w:themeShade="BF"/>
        </w:rPr>
        <w:t xml:space="preserve">. </w:t>
      </w:r>
      <w:r w:rsidRPr="00A22F16">
        <w:rPr>
          <w:rFonts w:asciiTheme="minorHAnsi" w:hAnsiTheme="minorHAnsi"/>
          <w:color w:val="auto"/>
        </w:rPr>
        <w:t>Les inducteurs de coûts, comme indiqués en vertu du système de prix universel ci-dessus, doivent être exposés da</w:t>
      </w:r>
      <w:r w:rsidR="00A84285" w:rsidRPr="00A22F16">
        <w:rPr>
          <w:rFonts w:asciiTheme="minorHAnsi" w:hAnsiTheme="minorHAnsi"/>
          <w:color w:val="auto"/>
        </w:rPr>
        <w:t>ns les systèmes de prix locaux.</w:t>
      </w:r>
    </w:p>
    <w:p w14:paraId="6B4477D1" w14:textId="77777777" w:rsidR="001C77BC" w:rsidRPr="00A22F16" w:rsidRDefault="002C2248">
      <w:pPr>
        <w:spacing w:after="21" w:line="259" w:lineRule="auto"/>
        <w:ind w:left="720" w:right="0" w:firstLine="0"/>
        <w:jc w:val="left"/>
        <w:rPr>
          <w:rFonts w:asciiTheme="minorHAnsi" w:hAnsiTheme="minorHAnsi"/>
          <w:color w:val="auto"/>
        </w:rPr>
      </w:pPr>
      <w:r w:rsidRPr="00A22F16">
        <w:rPr>
          <w:rFonts w:asciiTheme="minorHAnsi" w:hAnsiTheme="minorHAnsi"/>
          <w:color w:val="auto"/>
        </w:rPr>
        <w:t xml:space="preserve"> </w:t>
      </w:r>
    </w:p>
    <w:p w14:paraId="3CB56A49" w14:textId="77777777" w:rsidR="001C77BC" w:rsidRPr="00A22F16" w:rsidRDefault="002C2248" w:rsidP="0024355A">
      <w:pPr>
        <w:numPr>
          <w:ilvl w:val="0"/>
          <w:numId w:val="1"/>
        </w:numPr>
        <w:spacing w:after="36"/>
        <w:ind w:right="0" w:hanging="360"/>
        <w:rPr>
          <w:rFonts w:asciiTheme="minorHAnsi" w:hAnsiTheme="minorHAnsi"/>
          <w:color w:val="auto"/>
        </w:rPr>
      </w:pPr>
      <w:r w:rsidRPr="00A22F16">
        <w:rPr>
          <w:rFonts w:asciiTheme="minorHAnsi" w:hAnsiTheme="minorHAnsi"/>
          <w:color w:val="auto"/>
        </w:rPr>
        <w:t>Le recouvrement des coûts de services d</w:t>
      </w:r>
      <w:r w:rsidR="00A84285" w:rsidRPr="00A22F16">
        <w:rPr>
          <w:rFonts w:asciiTheme="minorHAnsi" w:hAnsiTheme="minorHAnsi"/>
          <w:color w:val="auto"/>
        </w:rPr>
        <w:t>’</w:t>
      </w:r>
      <w:r w:rsidRPr="00A22F16">
        <w:rPr>
          <w:rFonts w:asciiTheme="minorHAnsi" w:hAnsiTheme="minorHAnsi"/>
          <w:color w:val="auto"/>
        </w:rPr>
        <w:t>appui, sur la base des pourcentages déterminés à l</w:t>
      </w:r>
      <w:r w:rsidR="00A84285" w:rsidRPr="00A22F16">
        <w:rPr>
          <w:rFonts w:asciiTheme="minorHAnsi" w:hAnsiTheme="minorHAnsi"/>
          <w:color w:val="auto"/>
        </w:rPr>
        <w:t>’</w:t>
      </w:r>
      <w:r w:rsidRPr="00A22F16">
        <w:rPr>
          <w:rFonts w:asciiTheme="minorHAnsi" w:hAnsiTheme="minorHAnsi"/>
          <w:color w:val="auto"/>
        </w:rPr>
        <w:t xml:space="preserve">avance, peut être garanti dans certaines circonstances. Même si ces cas doivent être rares, ce traitement peut être justifié </w:t>
      </w:r>
      <w:r w:rsidR="00A84285" w:rsidRPr="00A22F16">
        <w:rPr>
          <w:rFonts w:asciiTheme="minorHAnsi" w:hAnsiTheme="minorHAnsi"/>
          <w:color w:val="auto"/>
        </w:rPr>
        <w:t>tant que le bureau du PNUD a :</w:t>
      </w:r>
    </w:p>
    <w:p w14:paraId="16BB58F3" w14:textId="3290C94D" w:rsidR="000C0D76" w:rsidRPr="00A22F16" w:rsidRDefault="002C2248" w:rsidP="0024355A">
      <w:pPr>
        <w:pStyle w:val="ListParagraph"/>
        <w:numPr>
          <w:ilvl w:val="0"/>
          <w:numId w:val="6"/>
        </w:numPr>
        <w:ind w:right="0"/>
        <w:rPr>
          <w:rFonts w:asciiTheme="minorHAnsi" w:hAnsiTheme="minorHAnsi"/>
          <w:color w:val="auto"/>
        </w:rPr>
      </w:pPr>
      <w:r w:rsidRPr="00A22F16">
        <w:rPr>
          <w:rFonts w:asciiTheme="minorHAnsi" w:hAnsiTheme="minorHAnsi"/>
          <w:color w:val="auto"/>
        </w:rPr>
        <w:t>Calculé et documenté sa détermination des fra</w:t>
      </w:r>
      <w:r w:rsidR="00A84285" w:rsidRPr="00A22F16">
        <w:rPr>
          <w:rFonts w:asciiTheme="minorHAnsi" w:hAnsiTheme="minorHAnsi"/>
          <w:color w:val="auto"/>
        </w:rPr>
        <w:t>is basés sur les pourcentages ;</w:t>
      </w:r>
    </w:p>
    <w:p w14:paraId="2C50215E" w14:textId="0881EC11" w:rsidR="001C77BC" w:rsidRPr="00A22F16" w:rsidRDefault="002C2248" w:rsidP="0024355A">
      <w:pPr>
        <w:pStyle w:val="ListParagraph"/>
        <w:numPr>
          <w:ilvl w:val="0"/>
          <w:numId w:val="6"/>
        </w:numPr>
        <w:ind w:right="0"/>
        <w:rPr>
          <w:rFonts w:asciiTheme="minorHAnsi" w:hAnsiTheme="minorHAnsi"/>
          <w:color w:val="auto"/>
        </w:rPr>
      </w:pPr>
      <w:r w:rsidRPr="00A22F16">
        <w:rPr>
          <w:rFonts w:asciiTheme="minorHAnsi" w:hAnsiTheme="minorHAnsi"/>
          <w:color w:val="auto"/>
        </w:rPr>
        <w:t>Examiné le caractère approprié de ladite dét</w:t>
      </w:r>
      <w:r w:rsidR="00A84285" w:rsidRPr="00A22F16">
        <w:rPr>
          <w:rFonts w:asciiTheme="minorHAnsi" w:hAnsiTheme="minorHAnsi"/>
          <w:color w:val="auto"/>
        </w:rPr>
        <w:t>ermination, périodiquement ; et</w:t>
      </w:r>
    </w:p>
    <w:p w14:paraId="191CEABE" w14:textId="4D454BE0" w:rsidR="001C77BC" w:rsidRPr="00A22F16" w:rsidRDefault="002C2248" w:rsidP="0024355A">
      <w:pPr>
        <w:pStyle w:val="ListParagraph"/>
        <w:numPr>
          <w:ilvl w:val="0"/>
          <w:numId w:val="6"/>
        </w:numPr>
        <w:ind w:right="0"/>
        <w:rPr>
          <w:rFonts w:asciiTheme="minorHAnsi" w:hAnsiTheme="minorHAnsi"/>
          <w:color w:val="auto"/>
        </w:rPr>
      </w:pPr>
      <w:r w:rsidRPr="00A22F16">
        <w:rPr>
          <w:rFonts w:asciiTheme="minorHAnsi" w:hAnsiTheme="minorHAnsi"/>
          <w:color w:val="auto"/>
        </w:rPr>
        <w:t xml:space="preserve">Consulté en avance les </w:t>
      </w:r>
      <w:r w:rsidR="00A84285" w:rsidRPr="00A22F16">
        <w:rPr>
          <w:rFonts w:asciiTheme="minorHAnsi" w:hAnsiTheme="minorHAnsi"/>
          <w:color w:val="auto"/>
        </w:rPr>
        <w:t>partenaires sur cette approche.</w:t>
      </w:r>
    </w:p>
    <w:p w14:paraId="05663B77" w14:textId="77777777" w:rsidR="001C77BC" w:rsidRPr="00A22F16" w:rsidRDefault="002C2248">
      <w:pPr>
        <w:spacing w:after="22" w:line="259" w:lineRule="auto"/>
        <w:ind w:left="0" w:right="0" w:firstLine="0"/>
        <w:jc w:val="left"/>
        <w:rPr>
          <w:rFonts w:asciiTheme="minorHAnsi" w:hAnsiTheme="minorHAnsi"/>
          <w:color w:val="auto"/>
        </w:rPr>
      </w:pPr>
      <w:r w:rsidRPr="00A22F16">
        <w:rPr>
          <w:rFonts w:asciiTheme="minorHAnsi" w:hAnsiTheme="minorHAnsi"/>
          <w:color w:val="auto"/>
        </w:rPr>
        <w:t xml:space="preserve"> </w:t>
      </w:r>
    </w:p>
    <w:p w14:paraId="3E03FFCD" w14:textId="009BC0B8" w:rsidR="001C77BC" w:rsidRPr="00A22F16" w:rsidRDefault="002C2248" w:rsidP="0024355A">
      <w:pPr>
        <w:pStyle w:val="ListParagraph"/>
        <w:numPr>
          <w:ilvl w:val="0"/>
          <w:numId w:val="1"/>
        </w:numPr>
        <w:spacing w:after="35"/>
        <w:ind w:right="0"/>
        <w:rPr>
          <w:rFonts w:asciiTheme="minorHAnsi" w:hAnsiTheme="minorHAnsi"/>
          <w:color w:val="auto"/>
        </w:rPr>
      </w:pPr>
      <w:r w:rsidRPr="00A22F16">
        <w:rPr>
          <w:rFonts w:asciiTheme="minorHAnsi" w:hAnsiTheme="minorHAnsi"/>
          <w:color w:val="auto"/>
        </w:rPr>
        <w:t>Les services suivants sont c</w:t>
      </w:r>
      <w:r w:rsidR="00A84285" w:rsidRPr="00A22F16">
        <w:rPr>
          <w:rFonts w:asciiTheme="minorHAnsi" w:hAnsiTheme="minorHAnsi"/>
          <w:color w:val="auto"/>
        </w:rPr>
        <w:t>onsidérés comme non standards :</w:t>
      </w:r>
    </w:p>
    <w:p w14:paraId="3A791E76" w14:textId="77777777" w:rsidR="001C77BC" w:rsidRPr="00A22F16" w:rsidRDefault="002C2248" w:rsidP="0024355A">
      <w:pPr>
        <w:numPr>
          <w:ilvl w:val="1"/>
          <w:numId w:val="1"/>
        </w:numPr>
        <w:ind w:right="0" w:hanging="396"/>
        <w:rPr>
          <w:rFonts w:asciiTheme="minorHAnsi" w:hAnsiTheme="minorHAnsi"/>
          <w:color w:val="auto"/>
        </w:rPr>
      </w:pPr>
      <w:r w:rsidRPr="00A22F16">
        <w:rPr>
          <w:rFonts w:asciiTheme="minorHAnsi" w:hAnsiTheme="minorHAnsi"/>
          <w:color w:val="auto"/>
        </w:rPr>
        <w:t>Le système de prix universel ne couvre pas les services ad hoc spéc</w:t>
      </w:r>
      <w:r w:rsidR="00A84285" w:rsidRPr="00A22F16">
        <w:rPr>
          <w:rFonts w:asciiTheme="minorHAnsi" w:hAnsiTheme="minorHAnsi"/>
          <w:color w:val="auto"/>
        </w:rPr>
        <w:t>ialisés ou fournis localement.</w:t>
      </w:r>
    </w:p>
    <w:p w14:paraId="5392572E" w14:textId="77777777" w:rsidR="001C77BC" w:rsidRPr="00A22F16" w:rsidRDefault="002C2248" w:rsidP="0024355A">
      <w:pPr>
        <w:numPr>
          <w:ilvl w:val="1"/>
          <w:numId w:val="1"/>
        </w:numPr>
        <w:ind w:right="0" w:hanging="396"/>
        <w:rPr>
          <w:rFonts w:asciiTheme="minorHAnsi" w:hAnsiTheme="minorHAnsi"/>
          <w:color w:val="auto"/>
        </w:rPr>
      </w:pPr>
      <w:r w:rsidRPr="00A22F16">
        <w:rPr>
          <w:rFonts w:asciiTheme="minorHAnsi" w:hAnsiTheme="minorHAnsi"/>
          <w:color w:val="auto"/>
        </w:rPr>
        <w:lastRenderedPageBreak/>
        <w:t>Le système de prix universel ne couvre pas les services locaux en matière de sécurité qui peuvent être nécessaires à certains pays non équipés de services b</w:t>
      </w:r>
      <w:r w:rsidR="00A84285" w:rsidRPr="00A22F16">
        <w:rPr>
          <w:rFonts w:asciiTheme="minorHAnsi" w:hAnsiTheme="minorHAnsi"/>
          <w:color w:val="auto"/>
        </w:rPr>
        <w:t>ancaires.</w:t>
      </w:r>
    </w:p>
    <w:p w14:paraId="30275009" w14:textId="77777777" w:rsidR="001C77BC" w:rsidRPr="00A22F16" w:rsidRDefault="001C77BC">
      <w:pPr>
        <w:spacing w:after="22" w:line="259" w:lineRule="auto"/>
        <w:ind w:left="1080" w:right="0" w:firstLine="0"/>
        <w:jc w:val="left"/>
        <w:rPr>
          <w:rFonts w:asciiTheme="minorHAnsi" w:hAnsiTheme="minorHAnsi"/>
          <w:color w:val="auto"/>
        </w:rPr>
      </w:pPr>
    </w:p>
    <w:p w14:paraId="6F363851" w14:textId="77777777" w:rsidR="001C77BC" w:rsidRPr="00A22F16" w:rsidRDefault="002C2248" w:rsidP="0024355A">
      <w:pPr>
        <w:numPr>
          <w:ilvl w:val="0"/>
          <w:numId w:val="1"/>
        </w:numPr>
        <w:spacing w:after="38"/>
        <w:ind w:right="0" w:hanging="360"/>
        <w:rPr>
          <w:rFonts w:asciiTheme="minorHAnsi" w:hAnsiTheme="minorHAnsi"/>
          <w:color w:val="auto"/>
        </w:rPr>
      </w:pPr>
      <w:r w:rsidRPr="00A22F16">
        <w:rPr>
          <w:rFonts w:asciiTheme="minorHAnsi" w:hAnsiTheme="minorHAnsi"/>
          <w:color w:val="auto"/>
        </w:rPr>
        <w:t>Les services ad hoc ainsi que les services locaux en matière de sécurité, ainsi que leurs coûts estimés, doivent être recouvrés au moyen d</w:t>
      </w:r>
      <w:r w:rsidR="00A84285" w:rsidRPr="00A22F16">
        <w:rPr>
          <w:rFonts w:asciiTheme="minorHAnsi" w:hAnsiTheme="minorHAnsi"/>
          <w:color w:val="auto"/>
        </w:rPr>
        <w:t>’</w:t>
      </w:r>
      <w:r w:rsidRPr="00A22F16">
        <w:rPr>
          <w:rFonts w:asciiTheme="minorHAnsi" w:hAnsiTheme="minorHAnsi"/>
          <w:color w:val="auto"/>
        </w:rPr>
        <w:t>accord</w:t>
      </w:r>
      <w:r w:rsidR="00D8644B" w:rsidRPr="00A22F16">
        <w:rPr>
          <w:rFonts w:asciiTheme="minorHAnsi" w:hAnsiTheme="minorHAnsi"/>
          <w:color w:val="auto"/>
        </w:rPr>
        <w:t>s</w:t>
      </w:r>
      <w:r w:rsidRPr="00A22F16">
        <w:rPr>
          <w:rFonts w:asciiTheme="minorHAnsi" w:hAnsiTheme="minorHAnsi"/>
          <w:color w:val="auto"/>
        </w:rPr>
        <w:t xml:space="preserve"> négociés localement entre les bureaux du PNUD et les institutions</w:t>
      </w:r>
      <w:r w:rsidR="00A84285" w:rsidRPr="00A22F16">
        <w:rPr>
          <w:rFonts w:asciiTheme="minorHAnsi" w:hAnsiTheme="minorHAnsi"/>
          <w:color w:val="auto"/>
        </w:rPr>
        <w:t xml:space="preserve"> des Nations Unies concernées.</w:t>
      </w:r>
    </w:p>
    <w:p w14:paraId="1A02BABC" w14:textId="77777777" w:rsidR="00440EF4" w:rsidRPr="00A22F16" w:rsidRDefault="00440EF4" w:rsidP="00440EF4">
      <w:pPr>
        <w:spacing w:after="38"/>
        <w:ind w:left="705" w:right="0" w:firstLine="0"/>
        <w:rPr>
          <w:rFonts w:asciiTheme="minorHAnsi" w:hAnsiTheme="minorHAnsi"/>
          <w:color w:val="auto"/>
        </w:rPr>
      </w:pPr>
    </w:p>
    <w:p w14:paraId="0E1B6D78" w14:textId="0C70E2E3" w:rsidR="001C77BC" w:rsidRPr="00A22F16" w:rsidRDefault="002C2248" w:rsidP="00440EF4">
      <w:pPr>
        <w:pStyle w:val="ListParagraph"/>
        <w:numPr>
          <w:ilvl w:val="0"/>
          <w:numId w:val="1"/>
        </w:numPr>
        <w:spacing w:after="36"/>
        <w:ind w:right="0"/>
        <w:rPr>
          <w:rFonts w:asciiTheme="minorHAnsi" w:hAnsiTheme="minorHAnsi"/>
          <w:color w:val="auto"/>
        </w:rPr>
      </w:pPr>
      <w:r w:rsidRPr="00A22F16">
        <w:rPr>
          <w:rFonts w:asciiTheme="minorHAnsi" w:hAnsiTheme="minorHAnsi"/>
          <w:color w:val="auto"/>
        </w:rPr>
        <w:t xml:space="preserve">Les demandes de services sont, dans les circonstances exceptionnelles suivantes, soumises à une majoration de 25 pour cent (50 pour cent de majoration en vigueur au premier janvier 2016) en </w:t>
      </w:r>
      <w:r w:rsidR="00A84285" w:rsidRPr="00A22F16">
        <w:rPr>
          <w:rFonts w:asciiTheme="minorHAnsi" w:hAnsiTheme="minorHAnsi"/>
          <w:color w:val="auto"/>
        </w:rPr>
        <w:t>plus du coût ou prix standard :</w:t>
      </w:r>
    </w:p>
    <w:p w14:paraId="3A2B8F59" w14:textId="3C09DA1C" w:rsidR="00440EF4" w:rsidRPr="00A22F16" w:rsidRDefault="002C2248" w:rsidP="0060243D">
      <w:pPr>
        <w:pStyle w:val="ListParagraph"/>
        <w:numPr>
          <w:ilvl w:val="0"/>
          <w:numId w:val="16"/>
        </w:numPr>
        <w:ind w:right="0"/>
        <w:rPr>
          <w:rFonts w:asciiTheme="minorHAnsi" w:hAnsiTheme="minorHAnsi"/>
          <w:color w:val="auto"/>
        </w:rPr>
      </w:pPr>
      <w:r w:rsidRPr="00A22F16">
        <w:rPr>
          <w:rFonts w:asciiTheme="minorHAnsi" w:hAnsiTheme="minorHAnsi"/>
          <w:color w:val="auto"/>
        </w:rPr>
        <w:t>Demandes urgentes qui exigent un délai d</w:t>
      </w:r>
      <w:r w:rsidR="00A84285" w:rsidRPr="00A22F16">
        <w:rPr>
          <w:rFonts w:asciiTheme="minorHAnsi" w:hAnsiTheme="minorHAnsi"/>
          <w:color w:val="auto"/>
        </w:rPr>
        <w:t>’</w:t>
      </w:r>
      <w:r w:rsidRPr="00A22F16">
        <w:rPr>
          <w:rFonts w:asciiTheme="minorHAnsi" w:hAnsiTheme="minorHAnsi"/>
          <w:color w:val="auto"/>
        </w:rPr>
        <w:t xml:space="preserve">exécution de </w:t>
      </w:r>
      <w:r w:rsidR="00A84285" w:rsidRPr="00A22F16">
        <w:rPr>
          <w:rFonts w:asciiTheme="minorHAnsi" w:hAnsiTheme="minorHAnsi"/>
          <w:color w:val="auto"/>
        </w:rPr>
        <w:t>moins de trois jours ouvrables.</w:t>
      </w:r>
    </w:p>
    <w:p w14:paraId="74E2C63C" w14:textId="65020072" w:rsidR="0060243D" w:rsidRPr="00A22F16" w:rsidRDefault="0060243D" w:rsidP="0060243D">
      <w:pPr>
        <w:ind w:left="1460" w:right="0" w:firstLine="0"/>
        <w:rPr>
          <w:rFonts w:asciiTheme="minorHAnsi" w:hAnsiTheme="minorHAnsi"/>
          <w:color w:val="auto"/>
        </w:rPr>
      </w:pPr>
      <w:r w:rsidRPr="00A22F16">
        <w:rPr>
          <w:rFonts w:asciiTheme="minorHAnsi" w:hAnsiTheme="minorHAnsi"/>
          <w:color w:val="auto"/>
        </w:rPr>
        <w:t xml:space="preserve">ii.     </w:t>
      </w:r>
      <w:r w:rsidR="002C2248" w:rsidRPr="00A22F16">
        <w:rPr>
          <w:rFonts w:asciiTheme="minorHAnsi" w:hAnsiTheme="minorHAnsi"/>
          <w:color w:val="auto"/>
        </w:rPr>
        <w:t>Demandes de services avant ou</w:t>
      </w:r>
      <w:r w:rsidR="00A84285" w:rsidRPr="00A22F16">
        <w:rPr>
          <w:rFonts w:asciiTheme="minorHAnsi" w:hAnsiTheme="minorHAnsi"/>
          <w:color w:val="auto"/>
        </w:rPr>
        <w:t xml:space="preserve"> après les horaires de travail.</w:t>
      </w:r>
    </w:p>
    <w:p w14:paraId="74350B33" w14:textId="3F78BDFA" w:rsidR="001C77BC" w:rsidRPr="00A22F16" w:rsidRDefault="0060243D" w:rsidP="0060243D">
      <w:pPr>
        <w:pStyle w:val="ListParagraph"/>
        <w:spacing w:after="38"/>
        <w:ind w:left="1460" w:right="0" w:firstLine="0"/>
        <w:rPr>
          <w:rFonts w:asciiTheme="minorHAnsi" w:hAnsiTheme="minorHAnsi"/>
          <w:color w:val="auto"/>
        </w:rPr>
      </w:pPr>
      <w:r w:rsidRPr="00A22F16">
        <w:rPr>
          <w:rFonts w:asciiTheme="minorHAnsi" w:hAnsiTheme="minorHAnsi"/>
          <w:color w:val="auto"/>
        </w:rPr>
        <w:t xml:space="preserve">iii.    </w:t>
      </w:r>
      <w:r w:rsidR="002C2248" w:rsidRPr="00A22F16">
        <w:rPr>
          <w:rFonts w:asciiTheme="minorHAnsi" w:hAnsiTheme="minorHAnsi"/>
          <w:color w:val="auto"/>
        </w:rPr>
        <w:t>Lorsque la part du processus d</w:t>
      </w:r>
      <w:r w:rsidR="00A84285" w:rsidRPr="00A22F16">
        <w:rPr>
          <w:rFonts w:asciiTheme="minorHAnsi" w:hAnsiTheme="minorHAnsi"/>
          <w:color w:val="auto"/>
        </w:rPr>
        <w:t>’</w:t>
      </w:r>
      <w:r w:rsidR="002C2248" w:rsidRPr="00A22F16">
        <w:rPr>
          <w:rFonts w:asciiTheme="minorHAnsi" w:hAnsiTheme="minorHAnsi"/>
          <w:color w:val="auto"/>
        </w:rPr>
        <w:t xml:space="preserve">approvisionnement qui se tient en-dehors </w:t>
      </w:r>
      <w:r w:rsidR="00831C4A">
        <w:rPr>
          <w:rFonts w:asciiTheme="minorHAnsi" w:hAnsiTheme="minorHAnsi"/>
          <w:color w:val="auto"/>
        </w:rPr>
        <w:t>Quantum</w:t>
      </w:r>
      <w:r w:rsidR="002C2248" w:rsidRPr="00A22F16">
        <w:rPr>
          <w:rFonts w:asciiTheme="minorHAnsi" w:hAnsiTheme="minorHAnsi"/>
          <w:color w:val="auto"/>
        </w:rPr>
        <w:t xml:space="preserve"> a un caractère complexe (ad hoc) qui implique des procédés de gestion spécialisés d</w:t>
      </w:r>
      <w:r w:rsidR="00A84285" w:rsidRPr="00A22F16">
        <w:rPr>
          <w:rFonts w:asciiTheme="minorHAnsi" w:hAnsiTheme="minorHAnsi"/>
          <w:color w:val="auto"/>
        </w:rPr>
        <w:t>’</w:t>
      </w:r>
      <w:r w:rsidR="002C2248" w:rsidRPr="00A22F16">
        <w:rPr>
          <w:rFonts w:asciiTheme="minorHAnsi" w:hAnsiTheme="minorHAnsi"/>
          <w:color w:val="auto"/>
        </w:rPr>
        <w:t>une chaîne d</w:t>
      </w:r>
      <w:r w:rsidR="00A84285" w:rsidRPr="00A22F16">
        <w:rPr>
          <w:rFonts w:asciiTheme="minorHAnsi" w:hAnsiTheme="minorHAnsi"/>
          <w:color w:val="auto"/>
        </w:rPr>
        <w:t>’</w:t>
      </w:r>
      <w:r w:rsidR="002C2248" w:rsidRPr="00A22F16">
        <w:rPr>
          <w:rFonts w:asciiTheme="minorHAnsi" w:hAnsiTheme="minorHAnsi"/>
          <w:color w:val="auto"/>
        </w:rPr>
        <w:t>approvisionnement, un personnel dédié à l</w:t>
      </w:r>
      <w:r w:rsidR="00A84285" w:rsidRPr="00A22F16">
        <w:rPr>
          <w:rFonts w:asciiTheme="minorHAnsi" w:hAnsiTheme="minorHAnsi"/>
          <w:color w:val="auto"/>
        </w:rPr>
        <w:t>’</w:t>
      </w:r>
      <w:r w:rsidR="002C2248" w:rsidRPr="00A22F16">
        <w:rPr>
          <w:rFonts w:asciiTheme="minorHAnsi" w:hAnsiTheme="minorHAnsi"/>
          <w:color w:val="auto"/>
        </w:rPr>
        <w:t>approvisionnement, etc., les bureaux doivent déterminer le coût réel de l</w:t>
      </w:r>
      <w:r w:rsidR="00A84285" w:rsidRPr="00A22F16">
        <w:rPr>
          <w:rFonts w:asciiTheme="minorHAnsi" w:hAnsiTheme="minorHAnsi"/>
          <w:color w:val="auto"/>
        </w:rPr>
        <w:t>’</w:t>
      </w:r>
      <w:r w:rsidR="002C2248" w:rsidRPr="00A22F16">
        <w:rPr>
          <w:rFonts w:asciiTheme="minorHAnsi" w:hAnsiTheme="minorHAnsi"/>
          <w:color w:val="auto"/>
        </w:rPr>
        <w:t>exercice et parvenir à un accord relatif au recouvrement intégral des coûts. Imputer le coût des composantes précises (par exemple le personnel dédié), en intégralité ou en partie, au budget du projet comme intrant direct pour l</w:t>
      </w:r>
      <w:r w:rsidR="00A84285" w:rsidRPr="00A22F16">
        <w:rPr>
          <w:rFonts w:asciiTheme="minorHAnsi" w:hAnsiTheme="minorHAnsi"/>
          <w:color w:val="auto"/>
        </w:rPr>
        <w:t>’</w:t>
      </w:r>
      <w:r w:rsidR="002C2248" w:rsidRPr="00A22F16">
        <w:rPr>
          <w:rFonts w:asciiTheme="minorHAnsi" w:hAnsiTheme="minorHAnsi"/>
          <w:color w:val="auto"/>
        </w:rPr>
        <w:t>exécution du projet (taux transparents en vigueur négociés en utilisant le système de prix universel comme base) doit être envisa</w:t>
      </w:r>
      <w:r w:rsidR="00A84285" w:rsidRPr="00A22F16">
        <w:rPr>
          <w:rFonts w:asciiTheme="minorHAnsi" w:hAnsiTheme="minorHAnsi"/>
          <w:color w:val="auto"/>
        </w:rPr>
        <w:t>gé.</w:t>
      </w:r>
    </w:p>
    <w:p w14:paraId="31FBA3CE" w14:textId="3271FAB6" w:rsidR="001C77BC" w:rsidRPr="00A22F16" w:rsidRDefault="0060243D" w:rsidP="0060243D">
      <w:pPr>
        <w:pStyle w:val="ListParagraph"/>
        <w:ind w:left="1440" w:right="0" w:firstLine="0"/>
        <w:rPr>
          <w:rFonts w:asciiTheme="minorHAnsi" w:hAnsiTheme="minorHAnsi"/>
          <w:color w:val="auto"/>
        </w:rPr>
      </w:pPr>
      <w:r w:rsidRPr="00A22F16">
        <w:rPr>
          <w:rFonts w:asciiTheme="minorHAnsi" w:hAnsiTheme="minorHAnsi"/>
          <w:color w:val="auto"/>
        </w:rPr>
        <w:t xml:space="preserve">iv.  </w:t>
      </w:r>
      <w:r w:rsidR="002C2248" w:rsidRPr="00A22F16">
        <w:rPr>
          <w:rFonts w:asciiTheme="minorHAnsi" w:hAnsiTheme="minorHAnsi"/>
          <w:color w:val="auto"/>
        </w:rPr>
        <w:t>Si, du fait de sa dimension ou de sa complexité, un processus d</w:t>
      </w:r>
      <w:r w:rsidR="00A84285" w:rsidRPr="00A22F16">
        <w:rPr>
          <w:rFonts w:asciiTheme="minorHAnsi" w:hAnsiTheme="minorHAnsi"/>
          <w:color w:val="auto"/>
        </w:rPr>
        <w:t>’</w:t>
      </w:r>
      <w:r w:rsidR="002C2248" w:rsidRPr="00A22F16">
        <w:rPr>
          <w:rFonts w:asciiTheme="minorHAnsi" w:hAnsiTheme="minorHAnsi"/>
          <w:color w:val="auto"/>
        </w:rPr>
        <w:t>approvisionnement doit être soumis à un comité consultatif des achats régional (ou ordinaire), il doit être traité comme un service ad hoc soumis au recouvrement intégral des coûts aux taux tra</w:t>
      </w:r>
      <w:r w:rsidR="00A84285" w:rsidRPr="00A22F16">
        <w:rPr>
          <w:rFonts w:asciiTheme="minorHAnsi" w:hAnsiTheme="minorHAnsi"/>
          <w:color w:val="auto"/>
        </w:rPr>
        <w:t>nsparents du marché en vigueur.</w:t>
      </w:r>
    </w:p>
    <w:p w14:paraId="1DC7EE7B" w14:textId="77777777" w:rsidR="001C77BC" w:rsidRPr="00A22F16" w:rsidRDefault="002C2248">
      <w:pPr>
        <w:spacing w:after="20" w:line="259" w:lineRule="auto"/>
        <w:ind w:left="1080" w:right="0" w:firstLine="0"/>
        <w:jc w:val="left"/>
        <w:rPr>
          <w:rFonts w:asciiTheme="minorHAnsi" w:hAnsiTheme="minorHAnsi"/>
          <w:color w:val="auto"/>
        </w:rPr>
      </w:pPr>
      <w:r w:rsidRPr="00A22F16">
        <w:rPr>
          <w:rFonts w:asciiTheme="minorHAnsi" w:hAnsiTheme="minorHAnsi"/>
          <w:color w:val="auto"/>
        </w:rPr>
        <w:t xml:space="preserve"> </w:t>
      </w:r>
    </w:p>
    <w:p w14:paraId="1A149397" w14:textId="1A62298E" w:rsidR="001C77BC" w:rsidRPr="00A22F16" w:rsidRDefault="002C2248" w:rsidP="0060243D">
      <w:pPr>
        <w:pStyle w:val="ListParagraph"/>
        <w:numPr>
          <w:ilvl w:val="0"/>
          <w:numId w:val="1"/>
        </w:numPr>
        <w:ind w:right="0"/>
        <w:rPr>
          <w:rFonts w:asciiTheme="minorHAnsi" w:hAnsiTheme="minorHAnsi"/>
          <w:color w:val="auto"/>
        </w:rPr>
      </w:pPr>
      <w:r w:rsidRPr="00A22F16">
        <w:rPr>
          <w:rFonts w:asciiTheme="minorHAnsi" w:hAnsiTheme="minorHAnsi"/>
          <w:color w:val="auto"/>
        </w:rPr>
        <w:t>Si le bureau du PNUD estime que le système de prix universel ne couvre pas pleinement les coûts totaux pour la fourniture des services types, il peut également établir un système de prix locaux pour ces services, à négocier et convenir localement par les institutions participantes avant la fourniture des services. Les écarts par rapport aux taux publiés du système de prix universel pour les services types du système de prix universel sont exceptionnels et soumis à l</w:t>
      </w:r>
      <w:r w:rsidR="00A84285" w:rsidRPr="00A22F16">
        <w:rPr>
          <w:rFonts w:asciiTheme="minorHAnsi" w:hAnsiTheme="minorHAnsi"/>
          <w:color w:val="auto"/>
        </w:rPr>
        <w:t>’</w:t>
      </w:r>
      <w:r w:rsidRPr="00A22F16">
        <w:rPr>
          <w:rFonts w:asciiTheme="minorHAnsi" w:hAnsiTheme="minorHAnsi"/>
          <w:color w:val="auto"/>
        </w:rPr>
        <w:t>approbation du Bureau de la gestion des ressources financières (</w:t>
      </w:r>
      <w:r w:rsidRPr="00A22F16">
        <w:rPr>
          <w:rFonts w:asciiTheme="minorHAnsi" w:hAnsiTheme="minorHAnsi"/>
          <w:color w:val="548DD4" w:themeColor="text2" w:themeTint="99"/>
        </w:rPr>
        <w:t>bms.ofrm.fbp@undp.org</w:t>
      </w:r>
      <w:r w:rsidR="00A84285" w:rsidRPr="00A22F16">
        <w:rPr>
          <w:rFonts w:asciiTheme="minorHAnsi" w:hAnsiTheme="minorHAnsi"/>
          <w:color w:val="auto"/>
        </w:rPr>
        <w:t>).</w:t>
      </w:r>
    </w:p>
    <w:p w14:paraId="226ED675" w14:textId="77777777" w:rsidR="001C77BC" w:rsidRPr="00A22F16" w:rsidRDefault="002C2248">
      <w:pPr>
        <w:spacing w:after="22" w:line="259" w:lineRule="auto"/>
        <w:ind w:left="720" w:right="0" w:firstLine="0"/>
        <w:jc w:val="left"/>
        <w:rPr>
          <w:rFonts w:asciiTheme="minorHAnsi" w:hAnsiTheme="minorHAnsi"/>
          <w:color w:val="auto"/>
        </w:rPr>
      </w:pPr>
      <w:r w:rsidRPr="00A22F16">
        <w:rPr>
          <w:rFonts w:asciiTheme="minorHAnsi" w:hAnsiTheme="minorHAnsi"/>
          <w:color w:val="auto"/>
        </w:rPr>
        <w:t xml:space="preserve"> </w:t>
      </w:r>
    </w:p>
    <w:p w14:paraId="11260EBD" w14:textId="48E6FCF7" w:rsidR="001C77BC" w:rsidRPr="00A22F16" w:rsidRDefault="002C2248" w:rsidP="0060243D">
      <w:pPr>
        <w:pStyle w:val="ListParagraph"/>
        <w:numPr>
          <w:ilvl w:val="0"/>
          <w:numId w:val="1"/>
        </w:numPr>
        <w:ind w:right="0"/>
        <w:rPr>
          <w:rFonts w:asciiTheme="minorHAnsi" w:hAnsiTheme="minorHAnsi"/>
          <w:color w:val="auto"/>
        </w:rPr>
      </w:pPr>
      <w:r w:rsidRPr="00A22F16">
        <w:rPr>
          <w:rFonts w:asciiTheme="minorHAnsi" w:hAnsiTheme="minorHAnsi"/>
          <w:color w:val="auto"/>
        </w:rPr>
        <w:t>Lorsque les coûts ne peuvent pas être intégralement recouvrés pour des services non standards, le bureau du PNUD peut refuser de fournir les services. Dans le cadre des paramètres des politiques et procédures du PNUD, comme déclaré</w:t>
      </w:r>
      <w:r w:rsidR="00D8644B" w:rsidRPr="00A22F16">
        <w:rPr>
          <w:rFonts w:asciiTheme="minorHAnsi" w:hAnsiTheme="minorHAnsi"/>
          <w:color w:val="auto"/>
        </w:rPr>
        <w:t>s</w:t>
      </w:r>
      <w:r w:rsidRPr="00A22F16">
        <w:rPr>
          <w:rFonts w:asciiTheme="minorHAnsi" w:hAnsiTheme="minorHAnsi"/>
          <w:color w:val="auto"/>
        </w:rPr>
        <w:t xml:space="preserve"> dans ce chapitre des politiques et procédures régissant les programmes et opérations, les bureaux du PNUD ne doivent pas refuser de fournir des services aux </w:t>
      </w:r>
      <w:r w:rsidRPr="00A22F16">
        <w:rPr>
          <w:rFonts w:asciiTheme="minorHAnsi" w:hAnsiTheme="minorHAnsi"/>
          <w:b/>
          <w:color w:val="auto"/>
        </w:rPr>
        <w:t xml:space="preserve">institutions </w:t>
      </w:r>
      <w:r w:rsidR="00831C4A">
        <w:rPr>
          <w:rFonts w:asciiTheme="minorHAnsi" w:hAnsiTheme="minorHAnsi"/>
          <w:b/>
          <w:color w:val="auto"/>
        </w:rPr>
        <w:t>Quantum</w:t>
      </w:r>
      <w:r w:rsidRPr="00A22F16">
        <w:rPr>
          <w:rFonts w:asciiTheme="minorHAnsi" w:hAnsiTheme="minorHAnsi"/>
          <w:color w:val="auto"/>
        </w:rPr>
        <w:t xml:space="preserve"> sans l</w:t>
      </w:r>
      <w:r w:rsidR="00A84285" w:rsidRPr="00A22F16">
        <w:rPr>
          <w:rFonts w:asciiTheme="minorHAnsi" w:hAnsiTheme="minorHAnsi"/>
          <w:color w:val="auto"/>
        </w:rPr>
        <w:t>’</w:t>
      </w:r>
      <w:r w:rsidRPr="00A22F16">
        <w:rPr>
          <w:rFonts w:asciiTheme="minorHAnsi" w:hAnsiTheme="minorHAnsi"/>
          <w:color w:val="auto"/>
        </w:rPr>
        <w:t>approbation du Bureau</w:t>
      </w:r>
      <w:r w:rsidR="00FC353D" w:rsidRPr="00A22F16">
        <w:rPr>
          <w:rFonts w:asciiTheme="minorHAnsi" w:hAnsiTheme="minorHAnsi"/>
          <w:color w:val="auto"/>
        </w:rPr>
        <w:t xml:space="preserve"> des Services</w:t>
      </w:r>
      <w:r w:rsidR="002F3172" w:rsidRPr="00A22F16">
        <w:rPr>
          <w:rFonts w:asciiTheme="minorHAnsi" w:hAnsiTheme="minorHAnsi"/>
          <w:color w:val="auto"/>
        </w:rPr>
        <w:t xml:space="preserve"> de Gestion</w:t>
      </w:r>
      <w:r w:rsidR="00FC353D" w:rsidRPr="00A22F16">
        <w:rPr>
          <w:rFonts w:asciiTheme="minorHAnsi" w:hAnsiTheme="minorHAnsi"/>
          <w:color w:val="auto"/>
        </w:rPr>
        <w:t>/Bureau</w:t>
      </w:r>
      <w:r w:rsidRPr="00A22F16">
        <w:rPr>
          <w:rFonts w:asciiTheme="minorHAnsi" w:hAnsiTheme="minorHAnsi"/>
          <w:color w:val="auto"/>
        </w:rPr>
        <w:t xml:space="preserve"> de la gestion des ressources financières </w:t>
      </w:r>
      <w:r w:rsidRPr="00A22F16">
        <w:rPr>
          <w:rFonts w:asciiTheme="minorHAnsi" w:hAnsiTheme="minorHAnsi"/>
          <w:color w:val="548DD4" w:themeColor="text2" w:themeTint="99"/>
        </w:rPr>
        <w:t>(bms.ofrm.fbp@undp.org</w:t>
      </w:r>
      <w:r w:rsidR="00A84285" w:rsidRPr="00A22F16">
        <w:rPr>
          <w:rFonts w:asciiTheme="minorHAnsi" w:hAnsiTheme="minorHAnsi"/>
          <w:color w:val="31849B" w:themeColor="accent5" w:themeShade="BF"/>
        </w:rPr>
        <w:t>).</w:t>
      </w:r>
    </w:p>
    <w:p w14:paraId="7C102007" w14:textId="77777777" w:rsidR="001C77BC" w:rsidRPr="00A22F16" w:rsidRDefault="002C2248">
      <w:pPr>
        <w:spacing w:after="43" w:line="259" w:lineRule="auto"/>
        <w:ind w:left="720" w:right="0" w:firstLine="0"/>
        <w:jc w:val="left"/>
        <w:rPr>
          <w:rFonts w:asciiTheme="minorHAnsi" w:hAnsiTheme="minorHAnsi"/>
          <w:color w:val="auto"/>
        </w:rPr>
      </w:pPr>
      <w:r w:rsidRPr="00A22F16">
        <w:rPr>
          <w:rFonts w:asciiTheme="minorHAnsi" w:hAnsiTheme="minorHAnsi"/>
          <w:b/>
          <w:color w:val="auto"/>
        </w:rPr>
        <w:t xml:space="preserve"> </w:t>
      </w:r>
    </w:p>
    <w:p w14:paraId="11A9B5AA" w14:textId="6869D6B4" w:rsidR="001C77BC" w:rsidRPr="00A22F16" w:rsidRDefault="002C2248" w:rsidP="0060243D">
      <w:pPr>
        <w:pStyle w:val="ListParagraph"/>
        <w:numPr>
          <w:ilvl w:val="0"/>
          <w:numId w:val="1"/>
        </w:numPr>
        <w:spacing w:after="36"/>
        <w:ind w:right="0"/>
        <w:rPr>
          <w:rFonts w:asciiTheme="minorHAnsi" w:hAnsiTheme="minorHAnsi"/>
          <w:color w:val="auto"/>
        </w:rPr>
      </w:pPr>
      <w:r w:rsidRPr="00A22F16">
        <w:rPr>
          <w:rFonts w:asciiTheme="minorHAnsi" w:hAnsiTheme="minorHAnsi"/>
          <w:color w:val="auto"/>
        </w:rPr>
        <w:t xml:space="preserve">Les </w:t>
      </w:r>
      <w:r w:rsidR="00831C4A" w:rsidRPr="00C129AC">
        <w:rPr>
          <w:rFonts w:asciiTheme="minorHAnsi" w:hAnsiTheme="minorHAnsi"/>
          <w:b/>
          <w:bCs/>
          <w:color w:val="auto"/>
        </w:rPr>
        <w:t>Services d'appui à la mise en œuvre</w:t>
      </w:r>
      <w:r w:rsidR="00831C4A">
        <w:rPr>
          <w:rFonts w:asciiTheme="minorHAnsi" w:hAnsiTheme="minorHAnsi"/>
          <w:color w:val="auto"/>
        </w:rPr>
        <w:t xml:space="preserve">, </w:t>
      </w:r>
      <w:r w:rsidR="00C129AC" w:rsidRPr="00C129AC">
        <w:rPr>
          <w:rFonts w:asciiTheme="minorHAnsi" w:hAnsiTheme="minorHAnsi"/>
          <w:color w:val="auto"/>
        </w:rPr>
        <w:t>anciennement connu</w:t>
      </w:r>
      <w:r w:rsidR="00C129AC">
        <w:rPr>
          <w:rFonts w:asciiTheme="minorHAnsi" w:hAnsiTheme="minorHAnsi"/>
          <w:color w:val="auto"/>
        </w:rPr>
        <w:t>s</w:t>
      </w:r>
      <w:r w:rsidR="00C129AC" w:rsidRPr="00C129AC">
        <w:rPr>
          <w:rFonts w:asciiTheme="minorHAnsi" w:hAnsiTheme="minorHAnsi"/>
          <w:color w:val="auto"/>
        </w:rPr>
        <w:t xml:space="preserve"> sous le nom de</w:t>
      </w:r>
      <w:r w:rsidR="00C129AC" w:rsidRPr="00C129AC">
        <w:rPr>
          <w:rFonts w:asciiTheme="minorHAnsi" w:hAnsiTheme="minorHAnsi"/>
          <w:color w:val="auto"/>
        </w:rPr>
        <w:t xml:space="preserve"> </w:t>
      </w:r>
      <w:r w:rsidR="00C129AC">
        <w:rPr>
          <w:rFonts w:asciiTheme="minorHAnsi" w:hAnsiTheme="minorHAnsi"/>
          <w:color w:val="auto"/>
        </w:rPr>
        <w:t>« </w:t>
      </w:r>
      <w:r w:rsidR="00C129AC" w:rsidRPr="00C129AC">
        <w:rPr>
          <w:rFonts w:asciiTheme="minorHAnsi" w:hAnsiTheme="minorHAnsi"/>
          <w:color w:val="auto"/>
        </w:rPr>
        <w:t>coûts directs du projet</w:t>
      </w:r>
      <w:r w:rsidR="00C129AC">
        <w:rPr>
          <w:rFonts w:asciiTheme="minorHAnsi" w:hAnsiTheme="minorHAnsi"/>
          <w:color w:val="auto"/>
        </w:rPr>
        <w:t xml:space="preserve"> (DPC) »,</w:t>
      </w:r>
      <w:r w:rsidRPr="00A22F16">
        <w:rPr>
          <w:rFonts w:asciiTheme="minorHAnsi" w:hAnsiTheme="minorHAnsi"/>
          <w:color w:val="auto"/>
        </w:rPr>
        <w:t xml:space="preserve"> comprennent la mise en œuvre des programmes et les activités d</w:t>
      </w:r>
      <w:r w:rsidR="00A84285" w:rsidRPr="00A22F16">
        <w:rPr>
          <w:rFonts w:asciiTheme="minorHAnsi" w:hAnsiTheme="minorHAnsi"/>
          <w:color w:val="auto"/>
        </w:rPr>
        <w:t>’</w:t>
      </w:r>
      <w:r w:rsidRPr="00A22F16">
        <w:rPr>
          <w:rFonts w:asciiTheme="minorHAnsi" w:hAnsiTheme="minorHAnsi"/>
          <w:color w:val="auto"/>
        </w:rPr>
        <w:t xml:space="preserve">appui à la mise en œuvre, ainsi que les coûts engendrés par le PNUD pour appuyer la mise en œuvre des projets. La tarification des intrants des projets et programmes du PNUD doit se baser sur les coûts réels </w:t>
      </w:r>
      <w:r w:rsidRPr="00A22F16">
        <w:rPr>
          <w:rFonts w:asciiTheme="minorHAnsi" w:hAnsiTheme="minorHAnsi"/>
          <w:color w:val="auto"/>
        </w:rPr>
        <w:lastRenderedPageBreak/>
        <w:t>des services pouvant être clairement déterminés. Il y a trois manières pr</w:t>
      </w:r>
      <w:r w:rsidR="00A84285" w:rsidRPr="00A22F16">
        <w:rPr>
          <w:rFonts w:asciiTheme="minorHAnsi" w:hAnsiTheme="minorHAnsi"/>
          <w:color w:val="auto"/>
        </w:rPr>
        <w:t>incipales d’appliquer les DPC :</w:t>
      </w:r>
    </w:p>
    <w:p w14:paraId="36AAFDD2" w14:textId="77777777" w:rsidR="001C77BC" w:rsidRPr="00A22F16" w:rsidRDefault="002C2248" w:rsidP="0060243D">
      <w:pPr>
        <w:numPr>
          <w:ilvl w:val="1"/>
          <w:numId w:val="1"/>
        </w:numPr>
        <w:ind w:right="0" w:hanging="396"/>
        <w:rPr>
          <w:rFonts w:asciiTheme="minorHAnsi" w:hAnsiTheme="minorHAnsi"/>
          <w:color w:val="auto"/>
        </w:rPr>
      </w:pPr>
      <w:r w:rsidRPr="00A22F16">
        <w:rPr>
          <w:rFonts w:asciiTheme="minorHAnsi" w:hAnsiTheme="minorHAnsi"/>
          <w:color w:val="auto"/>
        </w:rPr>
        <w:t>Application des résultats de l</w:t>
      </w:r>
      <w:r w:rsidR="00A84285" w:rsidRPr="00A22F16">
        <w:rPr>
          <w:rFonts w:asciiTheme="minorHAnsi" w:hAnsiTheme="minorHAnsi"/>
          <w:color w:val="auto"/>
        </w:rPr>
        <w:t>’</w:t>
      </w:r>
      <w:r w:rsidRPr="00A22F16">
        <w:rPr>
          <w:rFonts w:asciiTheme="minorHAnsi" w:hAnsiTheme="minorHAnsi"/>
          <w:color w:val="auto"/>
        </w:rPr>
        <w:t>étude sur la charge de travail du fonctionnaire de la coordination, combinée à des lignes de finance</w:t>
      </w:r>
      <w:r w:rsidR="00A84285" w:rsidRPr="00A22F16">
        <w:rPr>
          <w:rFonts w:asciiTheme="minorHAnsi" w:hAnsiTheme="minorHAnsi"/>
          <w:color w:val="auto"/>
        </w:rPr>
        <w:t>ment multiples pour les postes.</w:t>
      </w:r>
    </w:p>
    <w:p w14:paraId="58D82A91" w14:textId="77777777" w:rsidR="001C77BC" w:rsidRPr="00A22F16" w:rsidRDefault="002C2248" w:rsidP="0060243D">
      <w:pPr>
        <w:numPr>
          <w:ilvl w:val="1"/>
          <w:numId w:val="1"/>
        </w:numPr>
        <w:spacing w:after="36"/>
        <w:ind w:right="0" w:hanging="396"/>
        <w:rPr>
          <w:rFonts w:asciiTheme="minorHAnsi" w:hAnsiTheme="minorHAnsi"/>
          <w:color w:val="auto"/>
        </w:rPr>
      </w:pPr>
      <w:r w:rsidRPr="00A22F16">
        <w:rPr>
          <w:rFonts w:asciiTheme="minorHAnsi" w:hAnsiTheme="minorHAnsi"/>
          <w:color w:val="auto"/>
        </w:rPr>
        <w:t>Application du système de prix universel et du système de prix locaux pour le recouvrem</w:t>
      </w:r>
      <w:r w:rsidR="00A84285" w:rsidRPr="00A22F16">
        <w:rPr>
          <w:rFonts w:asciiTheme="minorHAnsi" w:hAnsiTheme="minorHAnsi"/>
          <w:color w:val="auto"/>
        </w:rPr>
        <w:t>ent des coûts des transactions.</w:t>
      </w:r>
    </w:p>
    <w:p w14:paraId="77E5EF3D" w14:textId="77777777" w:rsidR="001C77BC" w:rsidRPr="00A22F16" w:rsidRDefault="002C2248" w:rsidP="0060243D">
      <w:pPr>
        <w:numPr>
          <w:ilvl w:val="1"/>
          <w:numId w:val="1"/>
        </w:numPr>
        <w:ind w:right="0" w:hanging="396"/>
        <w:rPr>
          <w:rFonts w:asciiTheme="minorHAnsi" w:hAnsiTheme="minorHAnsi"/>
          <w:color w:val="auto"/>
        </w:rPr>
      </w:pPr>
      <w:r w:rsidRPr="00A22F16">
        <w:rPr>
          <w:rFonts w:asciiTheme="minorHAnsi" w:hAnsiTheme="minorHAnsi"/>
          <w:color w:val="auto"/>
        </w:rPr>
        <w:t>Création et gesti</w:t>
      </w:r>
      <w:r w:rsidR="00A84285" w:rsidRPr="00A22F16">
        <w:rPr>
          <w:rFonts w:asciiTheme="minorHAnsi" w:hAnsiTheme="minorHAnsi"/>
          <w:color w:val="auto"/>
        </w:rPr>
        <w:t>on d’un projet autonome de DPC.</w:t>
      </w:r>
    </w:p>
    <w:p w14:paraId="4B17ECF2" w14:textId="77777777" w:rsidR="001C77BC" w:rsidRPr="00A22F16" w:rsidRDefault="002C2248">
      <w:pPr>
        <w:spacing w:after="20" w:line="259" w:lineRule="auto"/>
        <w:ind w:left="0" w:right="0" w:firstLine="0"/>
        <w:jc w:val="left"/>
        <w:rPr>
          <w:rFonts w:asciiTheme="minorHAnsi" w:hAnsiTheme="minorHAnsi"/>
          <w:color w:val="auto"/>
        </w:rPr>
      </w:pPr>
      <w:r w:rsidRPr="00A22F16">
        <w:rPr>
          <w:rFonts w:asciiTheme="minorHAnsi" w:hAnsiTheme="minorHAnsi"/>
          <w:color w:val="auto"/>
        </w:rPr>
        <w:t xml:space="preserve"> </w:t>
      </w:r>
    </w:p>
    <w:p w14:paraId="6FE9EE6E" w14:textId="636FFD8D" w:rsidR="001C77BC" w:rsidRPr="00A22F16" w:rsidRDefault="002C2248" w:rsidP="0060243D">
      <w:pPr>
        <w:numPr>
          <w:ilvl w:val="0"/>
          <w:numId w:val="1"/>
        </w:numPr>
        <w:ind w:right="0" w:hanging="360"/>
        <w:rPr>
          <w:rFonts w:asciiTheme="minorHAnsi" w:hAnsiTheme="minorHAnsi"/>
          <w:color w:val="auto"/>
        </w:rPr>
      </w:pPr>
      <w:r w:rsidRPr="00A22F16">
        <w:rPr>
          <w:rFonts w:asciiTheme="minorHAnsi" w:hAnsiTheme="minorHAnsi"/>
          <w:color w:val="auto"/>
        </w:rPr>
        <w:t>L</w:t>
      </w:r>
      <w:r w:rsidR="00A84285" w:rsidRPr="00A22F16">
        <w:rPr>
          <w:rFonts w:asciiTheme="minorHAnsi" w:hAnsiTheme="minorHAnsi"/>
          <w:color w:val="auto"/>
        </w:rPr>
        <w:t>’</w:t>
      </w:r>
      <w:r w:rsidRPr="00A22F16">
        <w:rPr>
          <w:rFonts w:asciiTheme="minorHAnsi" w:hAnsiTheme="minorHAnsi"/>
          <w:color w:val="auto"/>
        </w:rPr>
        <w:t>option du système de prix universel et du système de prix locaux peut être préféré</w:t>
      </w:r>
      <w:r w:rsidR="00D8644B" w:rsidRPr="00A22F16">
        <w:rPr>
          <w:rFonts w:asciiTheme="minorHAnsi" w:hAnsiTheme="minorHAnsi"/>
          <w:color w:val="auto"/>
        </w:rPr>
        <w:t>e</w:t>
      </w:r>
      <w:r w:rsidRPr="00A22F16">
        <w:rPr>
          <w:rFonts w:asciiTheme="minorHAnsi" w:hAnsiTheme="minorHAnsi"/>
          <w:color w:val="auto"/>
        </w:rPr>
        <w:t xml:space="preserve"> pour le personnel d</w:t>
      </w:r>
      <w:r w:rsidR="00A84285" w:rsidRPr="00A22F16">
        <w:rPr>
          <w:rFonts w:asciiTheme="minorHAnsi" w:hAnsiTheme="minorHAnsi"/>
          <w:color w:val="auto"/>
        </w:rPr>
        <w:t>’</w:t>
      </w:r>
      <w:r w:rsidRPr="00A22F16">
        <w:rPr>
          <w:rFonts w:asciiTheme="minorHAnsi" w:hAnsiTheme="minorHAnsi"/>
          <w:color w:val="auto"/>
        </w:rPr>
        <w:t>appui aux opérations qui fournit des services à une gamme complète de projets de bureaux de pays (contrairement au personnel de programme qui appuie généralement un portefeuille plus restreint de projets limités). Les frais de services ne sont plus crédités comme revenus aux fonds extrabudgétaires</w:t>
      </w:r>
      <w:r w:rsidRPr="00A22F16">
        <w:rPr>
          <w:rFonts w:asciiTheme="minorHAnsi" w:hAnsiTheme="minorHAnsi"/>
          <w:color w:val="31849B" w:themeColor="accent5" w:themeShade="BF"/>
        </w:rPr>
        <w:t xml:space="preserve">. Voir </w:t>
      </w:r>
      <w:r w:rsidRPr="00AE3634">
        <w:rPr>
          <w:rFonts w:asciiTheme="minorHAnsi" w:hAnsiTheme="minorHAnsi"/>
        </w:rPr>
        <w:t xml:space="preserve">politiques et procédures régissant </w:t>
      </w:r>
      <w:hyperlink r:id="rId18" w:history="1">
        <w:r w:rsidRPr="00AE3634">
          <w:rPr>
            <w:rStyle w:val="Hyperlink"/>
            <w:rFonts w:asciiTheme="minorHAnsi" w:hAnsiTheme="minorHAnsi"/>
          </w:rPr>
          <w:t>l</w:t>
        </w:r>
        <w:r w:rsidR="00AE3634" w:rsidRPr="00AE3634">
          <w:rPr>
            <w:rStyle w:val="Hyperlink"/>
            <w:rFonts w:asciiTheme="minorHAnsi" w:hAnsiTheme="minorHAnsi"/>
          </w:rPr>
          <w:t>a Planification et paiement de la prestation Services d'appui aux projets</w:t>
        </w:r>
      </w:hyperlink>
      <w:r w:rsidR="00AE3634">
        <w:rPr>
          <w:rStyle w:val="Hyperlink"/>
          <w:rFonts w:asciiTheme="minorHAnsi" w:hAnsiTheme="minorHAnsi"/>
          <w:color w:val="31849B" w:themeColor="accent5" w:themeShade="BF"/>
        </w:rPr>
        <w:t xml:space="preserve"> </w:t>
      </w:r>
      <w:r w:rsidRPr="00A22F16">
        <w:rPr>
          <w:rFonts w:asciiTheme="minorHAnsi" w:hAnsiTheme="minorHAnsi"/>
          <w:color w:val="31849B" w:themeColor="accent5" w:themeShade="BF"/>
        </w:rPr>
        <w:t xml:space="preserve"> </w:t>
      </w:r>
      <w:r w:rsidR="00C129AC" w:rsidRPr="00C129AC">
        <w:rPr>
          <w:rFonts w:asciiTheme="minorHAnsi" w:hAnsiTheme="minorHAnsi"/>
          <w:color w:val="auto"/>
        </w:rPr>
        <w:t xml:space="preserve">et </w:t>
      </w:r>
      <w:hyperlink r:id="rId19">
        <w:r w:rsidRPr="00C129AC">
          <w:rPr>
            <w:rStyle w:val="Hyperlink"/>
            <w:rFonts w:asciiTheme="minorHAnsi" w:hAnsiTheme="minorHAnsi"/>
          </w:rPr>
          <w:t>Utilisation du système de prix universel et du système de prix locaux pour attribuer les coûts directs des projets (DPC)</w:t>
        </w:r>
      </w:hyperlink>
      <w:r w:rsidRPr="00C129AC">
        <w:rPr>
          <w:rStyle w:val="Hyperlink"/>
        </w:rPr>
        <w:t>.</w:t>
      </w:r>
    </w:p>
    <w:p w14:paraId="7C6CEF16" w14:textId="77777777" w:rsidR="001C77BC" w:rsidRPr="00A22F16" w:rsidRDefault="002C2248">
      <w:pPr>
        <w:spacing w:after="21" w:line="259" w:lineRule="auto"/>
        <w:ind w:left="720" w:right="0" w:firstLine="0"/>
        <w:jc w:val="left"/>
        <w:rPr>
          <w:rFonts w:asciiTheme="minorHAnsi" w:hAnsiTheme="minorHAnsi"/>
          <w:color w:val="auto"/>
        </w:rPr>
      </w:pPr>
      <w:r w:rsidRPr="00A22F16">
        <w:rPr>
          <w:rFonts w:asciiTheme="minorHAnsi" w:hAnsiTheme="minorHAnsi"/>
          <w:color w:val="auto"/>
        </w:rPr>
        <w:t xml:space="preserve"> </w:t>
      </w:r>
    </w:p>
    <w:p w14:paraId="7A1D2C61" w14:textId="444B9078" w:rsidR="001C77BC" w:rsidRPr="00A22F16" w:rsidRDefault="002C2248" w:rsidP="0060243D">
      <w:pPr>
        <w:numPr>
          <w:ilvl w:val="0"/>
          <w:numId w:val="1"/>
        </w:numPr>
        <w:ind w:right="0" w:hanging="360"/>
        <w:rPr>
          <w:rFonts w:asciiTheme="minorHAnsi" w:hAnsiTheme="minorHAnsi"/>
          <w:color w:val="auto"/>
        </w:rPr>
      </w:pPr>
      <w:r w:rsidRPr="00A22F16">
        <w:rPr>
          <w:rFonts w:asciiTheme="minorHAnsi" w:hAnsiTheme="minorHAnsi"/>
          <w:color w:val="auto"/>
        </w:rPr>
        <w:t xml:space="preserve">Les </w:t>
      </w:r>
      <w:r w:rsidRPr="00A22F16">
        <w:rPr>
          <w:rFonts w:asciiTheme="minorHAnsi" w:hAnsiTheme="minorHAnsi"/>
          <w:b/>
          <w:color w:val="auto"/>
        </w:rPr>
        <w:t>services communs ou partagés</w:t>
      </w:r>
      <w:r w:rsidRPr="00A22F16">
        <w:rPr>
          <w:rFonts w:asciiTheme="minorHAnsi" w:hAnsiTheme="minorHAnsi"/>
          <w:color w:val="auto"/>
        </w:rPr>
        <w:t xml:space="preserve"> sont généralement liés aux locaux communs et aux services connexes convenus localement entre les institutions des Nations Unies résidentes. Le coût des services communs ou partagés est réparti proportionnellem</w:t>
      </w:r>
      <w:r w:rsidR="0060243D" w:rsidRPr="00A22F16">
        <w:rPr>
          <w:rFonts w:asciiTheme="minorHAnsi" w:hAnsiTheme="minorHAnsi"/>
          <w:color w:val="auto"/>
        </w:rPr>
        <w:t>ent entre les institutions part</w:t>
      </w:r>
      <w:r w:rsidRPr="00A22F16">
        <w:rPr>
          <w:rFonts w:asciiTheme="minorHAnsi" w:hAnsiTheme="minorHAnsi"/>
          <w:color w:val="auto"/>
        </w:rPr>
        <w:t>cipantes. Sur la base d</w:t>
      </w:r>
      <w:r w:rsidR="00A84285" w:rsidRPr="00A22F16">
        <w:rPr>
          <w:rFonts w:asciiTheme="minorHAnsi" w:hAnsiTheme="minorHAnsi"/>
          <w:color w:val="auto"/>
        </w:rPr>
        <w:t>’</w:t>
      </w:r>
      <w:r w:rsidRPr="00A22F16">
        <w:rPr>
          <w:rFonts w:asciiTheme="minorHAnsi" w:hAnsiTheme="minorHAnsi"/>
          <w:color w:val="auto"/>
        </w:rPr>
        <w:t>accords avec les institutions des Nations Unies résidentes, les fonctionnaires de la coordination du PNUD peuvent fournir tout service en tant que service commun ou partagé si les conditions des services locaux sont appropriées. Il convient d</w:t>
      </w:r>
      <w:r w:rsidR="00A84285" w:rsidRPr="00A22F16">
        <w:rPr>
          <w:rFonts w:asciiTheme="minorHAnsi" w:hAnsiTheme="minorHAnsi"/>
          <w:color w:val="auto"/>
        </w:rPr>
        <w:t>’</w:t>
      </w:r>
      <w:r w:rsidRPr="00A22F16">
        <w:rPr>
          <w:rFonts w:asciiTheme="minorHAnsi" w:hAnsiTheme="minorHAnsi"/>
          <w:color w:val="auto"/>
        </w:rPr>
        <w:t>être noté dans ce contexte que l</w:t>
      </w:r>
      <w:r w:rsidR="00A84285" w:rsidRPr="00A22F16">
        <w:rPr>
          <w:rFonts w:asciiTheme="minorHAnsi" w:hAnsiTheme="minorHAnsi"/>
          <w:color w:val="auto"/>
        </w:rPr>
        <w:t>’</w:t>
      </w:r>
      <w:r w:rsidRPr="00A22F16">
        <w:rPr>
          <w:rFonts w:asciiTheme="minorHAnsi" w:hAnsiTheme="minorHAnsi"/>
          <w:color w:val="auto"/>
        </w:rPr>
        <w:t>approche des services communs ou partagés est l</w:t>
      </w:r>
      <w:r w:rsidR="00A84285" w:rsidRPr="00A22F16">
        <w:rPr>
          <w:rFonts w:asciiTheme="minorHAnsi" w:hAnsiTheme="minorHAnsi"/>
          <w:color w:val="auto"/>
        </w:rPr>
        <w:t>’</w:t>
      </w:r>
      <w:r w:rsidRPr="00A22F16">
        <w:rPr>
          <w:rFonts w:asciiTheme="minorHAnsi" w:hAnsiTheme="minorHAnsi"/>
          <w:color w:val="auto"/>
        </w:rPr>
        <w:t>approche préférée en matière de fourniture effective de services locaux dans le système des Nations Unies (</w:t>
      </w:r>
      <w:r w:rsidR="00D8644B" w:rsidRPr="00A22F16">
        <w:rPr>
          <w:rFonts w:asciiTheme="minorHAnsi" w:hAnsiTheme="minorHAnsi"/>
          <w:color w:val="auto"/>
        </w:rPr>
        <w:t>s</w:t>
      </w:r>
      <w:r w:rsidRPr="00A22F16">
        <w:rPr>
          <w:rFonts w:asciiTheme="minorHAnsi" w:hAnsiTheme="minorHAnsi"/>
          <w:color w:val="auto"/>
        </w:rPr>
        <w:t>e référer au chapitre d</w:t>
      </w:r>
      <w:r w:rsidRPr="00A22F16">
        <w:rPr>
          <w:rFonts w:asciiTheme="minorHAnsi" w:hAnsiTheme="minorHAnsi"/>
          <w:color w:val="000000" w:themeColor="text1"/>
        </w:rPr>
        <w:t>es</w:t>
      </w:r>
      <w:r w:rsidRPr="00A22F16">
        <w:rPr>
          <w:rFonts w:asciiTheme="minorHAnsi" w:hAnsiTheme="minorHAnsi"/>
          <w:color w:val="31849B" w:themeColor="accent5" w:themeShade="BF"/>
        </w:rPr>
        <w:t xml:space="preserve"> </w:t>
      </w:r>
      <w:hyperlink r:id="rId20">
        <w:r w:rsidRPr="0039797C">
          <w:rPr>
            <w:rStyle w:val="Hyperlink"/>
            <w:rFonts w:asciiTheme="minorHAnsi" w:hAnsiTheme="minorHAnsi"/>
          </w:rPr>
          <w:t>politiques et procédures régissant les programmes et opérations sur le recouvrement des coûts des institutions au niveau du bureau pays</w:t>
        </w:r>
      </w:hyperlink>
      <w:r w:rsidRPr="00A22F16">
        <w:rPr>
          <w:rFonts w:asciiTheme="minorHAnsi" w:hAnsiTheme="minorHAnsi"/>
          <w:color w:val="auto"/>
        </w:rPr>
        <w:t xml:space="preserve"> et aux lignes directrices relatives aux services communs et partagés). Toutefois, lorsqu</w:t>
      </w:r>
      <w:r w:rsidR="00A84285" w:rsidRPr="00A22F16">
        <w:rPr>
          <w:rFonts w:asciiTheme="minorHAnsi" w:hAnsiTheme="minorHAnsi"/>
          <w:color w:val="auto"/>
        </w:rPr>
        <w:t>’</w:t>
      </w:r>
      <w:r w:rsidRPr="00A22F16">
        <w:rPr>
          <w:rFonts w:asciiTheme="minorHAnsi" w:hAnsiTheme="minorHAnsi"/>
          <w:color w:val="auto"/>
        </w:rPr>
        <w:t>aucun accord local n</w:t>
      </w:r>
      <w:r w:rsidR="00A84285" w:rsidRPr="00A22F16">
        <w:rPr>
          <w:rFonts w:asciiTheme="minorHAnsi" w:hAnsiTheme="minorHAnsi"/>
          <w:color w:val="auto"/>
        </w:rPr>
        <w:t>’</w:t>
      </w:r>
      <w:r w:rsidRPr="00A22F16">
        <w:rPr>
          <w:rFonts w:asciiTheme="minorHAnsi" w:hAnsiTheme="minorHAnsi"/>
          <w:color w:val="auto"/>
        </w:rPr>
        <w:t>existe avec les institutions des Nations Unies participantes, le système de prix universel est le dispositif par défaut en ce qui concerne la tarification pour tous les services types. Tous les coûts associés à la gestion des services communs ou partagés seront pleinement remboursés par l</w:t>
      </w:r>
      <w:r w:rsidR="00A84285" w:rsidRPr="00A22F16">
        <w:rPr>
          <w:rFonts w:asciiTheme="minorHAnsi" w:hAnsiTheme="minorHAnsi"/>
          <w:color w:val="auto"/>
        </w:rPr>
        <w:t>’</w:t>
      </w:r>
      <w:r w:rsidRPr="00A22F16">
        <w:rPr>
          <w:rFonts w:asciiTheme="minorHAnsi" w:hAnsiTheme="minorHAnsi"/>
          <w:color w:val="auto"/>
        </w:rPr>
        <w:t>intermédiaire du système de prix universe</w:t>
      </w:r>
      <w:r w:rsidR="00A84285" w:rsidRPr="00A22F16">
        <w:rPr>
          <w:rFonts w:asciiTheme="minorHAnsi" w:hAnsiTheme="minorHAnsi"/>
          <w:color w:val="auto"/>
        </w:rPr>
        <w:t>l ou le système de prix locaux.</w:t>
      </w:r>
    </w:p>
    <w:p w14:paraId="4C3C7C26" w14:textId="77777777" w:rsidR="001C77BC" w:rsidRPr="00A22F16" w:rsidRDefault="001C77BC">
      <w:pPr>
        <w:spacing w:after="51" w:line="259" w:lineRule="auto"/>
        <w:ind w:left="720" w:right="0" w:firstLine="0"/>
        <w:jc w:val="left"/>
        <w:rPr>
          <w:rFonts w:asciiTheme="minorHAnsi" w:hAnsiTheme="minorHAnsi"/>
          <w:color w:val="auto"/>
        </w:rPr>
      </w:pPr>
    </w:p>
    <w:p w14:paraId="4773A1D5" w14:textId="77777777" w:rsidR="001C77BC" w:rsidRPr="00A22F16" w:rsidRDefault="002C2248" w:rsidP="0060243D">
      <w:pPr>
        <w:numPr>
          <w:ilvl w:val="0"/>
          <w:numId w:val="1"/>
        </w:numPr>
        <w:spacing w:after="31"/>
        <w:ind w:right="0" w:hanging="360"/>
        <w:rPr>
          <w:rFonts w:asciiTheme="minorHAnsi" w:hAnsiTheme="minorHAnsi"/>
          <w:color w:val="auto"/>
        </w:rPr>
      </w:pPr>
      <w:r w:rsidRPr="00A22F16">
        <w:rPr>
          <w:rFonts w:asciiTheme="minorHAnsi" w:hAnsiTheme="minorHAnsi"/>
          <w:color w:val="auto"/>
        </w:rPr>
        <w:t>Pour résumer les paragraphes qui précèdent, une autorisation spéciale du Bureau de la gestion (</w:t>
      </w:r>
      <w:r w:rsidRPr="00A22F16">
        <w:rPr>
          <w:rFonts w:asciiTheme="minorHAnsi" w:hAnsiTheme="minorHAnsi"/>
          <w:color w:val="548DD4" w:themeColor="text2" w:themeTint="99"/>
        </w:rPr>
        <w:t>bms.ofrm.fbp@undp.org</w:t>
      </w:r>
      <w:r w:rsidRPr="00A22F16">
        <w:rPr>
          <w:rFonts w:asciiTheme="minorHAnsi" w:hAnsiTheme="minorHAnsi"/>
          <w:color w:val="auto"/>
        </w:rPr>
        <w:t>) est exigée dan</w:t>
      </w:r>
      <w:r w:rsidR="00A84285" w:rsidRPr="00A22F16">
        <w:rPr>
          <w:rFonts w:asciiTheme="minorHAnsi" w:hAnsiTheme="minorHAnsi"/>
          <w:color w:val="auto"/>
        </w:rPr>
        <w:t>s les circonstances suivantes :</w:t>
      </w:r>
    </w:p>
    <w:p w14:paraId="3A145507" w14:textId="761C077C" w:rsidR="001C77BC" w:rsidRPr="00A22F16" w:rsidRDefault="002C2248" w:rsidP="0060243D">
      <w:pPr>
        <w:numPr>
          <w:ilvl w:val="1"/>
          <w:numId w:val="1"/>
        </w:numPr>
        <w:ind w:right="0" w:hanging="396"/>
        <w:rPr>
          <w:rFonts w:asciiTheme="minorHAnsi" w:hAnsiTheme="minorHAnsi"/>
          <w:color w:val="auto"/>
        </w:rPr>
      </w:pPr>
      <w:r w:rsidRPr="00A22F16">
        <w:rPr>
          <w:rFonts w:asciiTheme="minorHAnsi" w:hAnsiTheme="minorHAnsi"/>
          <w:color w:val="auto"/>
        </w:rPr>
        <w:t xml:space="preserve">Les bureaux du PNUD ne doivent pas refuser de fournir des services aux institutions </w:t>
      </w:r>
      <w:r w:rsidR="00C129AC">
        <w:rPr>
          <w:rFonts w:asciiTheme="minorHAnsi" w:hAnsiTheme="minorHAnsi"/>
          <w:color w:val="auto"/>
        </w:rPr>
        <w:t>Quantum</w:t>
      </w:r>
      <w:r w:rsidRPr="00A22F16">
        <w:rPr>
          <w:rFonts w:asciiTheme="minorHAnsi" w:hAnsiTheme="minorHAnsi"/>
          <w:color w:val="auto"/>
        </w:rPr>
        <w:t xml:space="preserve"> sans l</w:t>
      </w:r>
      <w:r w:rsidR="00A84285" w:rsidRPr="00A22F16">
        <w:rPr>
          <w:rFonts w:asciiTheme="minorHAnsi" w:hAnsiTheme="minorHAnsi"/>
          <w:color w:val="auto"/>
        </w:rPr>
        <w:t>’</w:t>
      </w:r>
      <w:r w:rsidRPr="00A22F16">
        <w:rPr>
          <w:rFonts w:asciiTheme="minorHAnsi" w:hAnsiTheme="minorHAnsi"/>
          <w:color w:val="auto"/>
        </w:rPr>
        <w:t>approbation du Bureau de la gesti</w:t>
      </w:r>
      <w:r w:rsidR="00A84285" w:rsidRPr="00A22F16">
        <w:rPr>
          <w:rFonts w:asciiTheme="minorHAnsi" w:hAnsiTheme="minorHAnsi"/>
          <w:color w:val="auto"/>
        </w:rPr>
        <w:t>on des ressources financières.</w:t>
      </w:r>
    </w:p>
    <w:p w14:paraId="390EAF8E" w14:textId="262FCA9D" w:rsidR="001C77BC" w:rsidRPr="00A22F16" w:rsidRDefault="002C2248" w:rsidP="0060243D">
      <w:pPr>
        <w:numPr>
          <w:ilvl w:val="1"/>
          <w:numId w:val="1"/>
        </w:numPr>
        <w:ind w:right="0" w:hanging="396"/>
        <w:rPr>
          <w:rFonts w:asciiTheme="minorHAnsi" w:hAnsiTheme="minorHAnsi"/>
          <w:color w:val="auto"/>
        </w:rPr>
      </w:pPr>
      <w:r w:rsidRPr="00A22F16">
        <w:rPr>
          <w:rFonts w:asciiTheme="minorHAnsi" w:hAnsiTheme="minorHAnsi"/>
          <w:color w:val="auto"/>
        </w:rPr>
        <w:t xml:space="preserve">Les écarts par rapport aux taux publiés du système de prix universel pour les services </w:t>
      </w:r>
      <w:r w:rsidRPr="00A22F16">
        <w:rPr>
          <w:rFonts w:asciiTheme="minorHAnsi" w:hAnsiTheme="minorHAnsi"/>
          <w:b/>
          <w:color w:val="auto"/>
        </w:rPr>
        <w:t>types</w:t>
      </w:r>
      <w:r w:rsidRPr="00A22F16">
        <w:rPr>
          <w:rFonts w:asciiTheme="minorHAnsi" w:hAnsiTheme="minorHAnsi"/>
          <w:color w:val="auto"/>
        </w:rPr>
        <w:t xml:space="preserve"> du système de prix universel sont soumis à l</w:t>
      </w:r>
      <w:r w:rsidR="00A84285" w:rsidRPr="00A22F16">
        <w:rPr>
          <w:rFonts w:asciiTheme="minorHAnsi" w:hAnsiTheme="minorHAnsi"/>
          <w:color w:val="auto"/>
        </w:rPr>
        <w:t>’</w:t>
      </w:r>
      <w:r w:rsidRPr="00A22F16">
        <w:rPr>
          <w:rFonts w:asciiTheme="minorHAnsi" w:hAnsiTheme="minorHAnsi"/>
          <w:color w:val="auto"/>
        </w:rPr>
        <w:t>approbation du Bureau de la gestion des ressources financières (</w:t>
      </w:r>
      <w:r w:rsidRPr="00A22F16">
        <w:rPr>
          <w:rFonts w:asciiTheme="minorHAnsi" w:hAnsiTheme="minorHAnsi"/>
          <w:color w:val="548DD4" w:themeColor="text2" w:themeTint="99"/>
        </w:rPr>
        <w:t>bms.ofrm.fbp@undp.org</w:t>
      </w:r>
      <w:r w:rsidR="00A84285" w:rsidRPr="00A22F16">
        <w:rPr>
          <w:rFonts w:asciiTheme="minorHAnsi" w:hAnsiTheme="minorHAnsi"/>
          <w:color w:val="auto"/>
        </w:rPr>
        <w:t>).</w:t>
      </w:r>
    </w:p>
    <w:p w14:paraId="0371B567" w14:textId="77777777" w:rsidR="001C77BC" w:rsidRPr="00A22F16" w:rsidRDefault="002C2248">
      <w:pPr>
        <w:spacing w:after="20" w:line="259" w:lineRule="auto"/>
        <w:ind w:left="1080" w:right="0" w:firstLine="0"/>
        <w:jc w:val="left"/>
        <w:rPr>
          <w:rFonts w:asciiTheme="minorHAnsi" w:hAnsiTheme="minorHAnsi"/>
          <w:color w:val="auto"/>
        </w:rPr>
      </w:pPr>
      <w:r w:rsidRPr="00A22F16">
        <w:rPr>
          <w:rFonts w:asciiTheme="minorHAnsi" w:hAnsiTheme="minorHAnsi"/>
          <w:color w:val="auto"/>
        </w:rPr>
        <w:t xml:space="preserve"> </w:t>
      </w:r>
    </w:p>
    <w:p w14:paraId="3C48E997" w14:textId="705AE8B6" w:rsidR="001C77BC" w:rsidRPr="00A22F16" w:rsidRDefault="002C2248" w:rsidP="0060243D">
      <w:pPr>
        <w:numPr>
          <w:ilvl w:val="0"/>
          <w:numId w:val="1"/>
        </w:numPr>
        <w:ind w:right="0" w:hanging="360"/>
        <w:rPr>
          <w:rFonts w:asciiTheme="minorHAnsi" w:hAnsiTheme="minorHAnsi"/>
          <w:color w:val="auto"/>
        </w:rPr>
      </w:pPr>
      <w:r w:rsidRPr="00A22F16">
        <w:rPr>
          <w:rFonts w:asciiTheme="minorHAnsi" w:hAnsiTheme="minorHAnsi"/>
          <w:color w:val="auto"/>
        </w:rPr>
        <w:t>Le recouvrement des coûts par les bureaux du PNUD pour les services fournis aux Volontaires des Nations Unies sont exposés dans la</w:t>
      </w:r>
      <w:r w:rsidRPr="00A22F16">
        <w:rPr>
          <w:rFonts w:asciiTheme="minorHAnsi" w:hAnsiTheme="minorHAnsi"/>
          <w:color w:val="548DD4" w:themeColor="text2" w:themeTint="99"/>
        </w:rPr>
        <w:t xml:space="preserve"> </w:t>
      </w:r>
      <w:hyperlink r:id="rId21">
        <w:r w:rsidRPr="00A22F16">
          <w:rPr>
            <w:rStyle w:val="Hyperlink"/>
            <w:rFonts w:asciiTheme="minorHAnsi" w:hAnsiTheme="minorHAnsi"/>
            <w:color w:val="548DD4" w:themeColor="text2" w:themeTint="99"/>
          </w:rPr>
          <w:t>note d</w:t>
        </w:r>
        <w:r w:rsidR="00A84285" w:rsidRPr="00A22F16">
          <w:rPr>
            <w:rStyle w:val="Hyperlink"/>
            <w:rFonts w:asciiTheme="minorHAnsi" w:hAnsiTheme="minorHAnsi"/>
            <w:color w:val="548DD4" w:themeColor="text2" w:themeTint="99"/>
          </w:rPr>
          <w:t>’</w:t>
        </w:r>
        <w:r w:rsidRPr="00A22F16">
          <w:rPr>
            <w:rStyle w:val="Hyperlink"/>
            <w:rFonts w:asciiTheme="minorHAnsi" w:hAnsiTheme="minorHAnsi"/>
            <w:color w:val="548DD4" w:themeColor="text2" w:themeTint="99"/>
          </w:rPr>
          <w:t>orientation</w:t>
        </w:r>
      </w:hyperlink>
      <w:r w:rsidR="00A84285" w:rsidRPr="00A22F16">
        <w:rPr>
          <w:rFonts w:asciiTheme="minorHAnsi" w:hAnsiTheme="minorHAnsi"/>
          <w:color w:val="auto"/>
        </w:rPr>
        <w:t xml:space="preserve"> ci-joint.</w:t>
      </w:r>
    </w:p>
    <w:p w14:paraId="513C602D" w14:textId="77777777" w:rsidR="0060243D" w:rsidRPr="00A22F16" w:rsidRDefault="0060243D" w:rsidP="0060243D">
      <w:pPr>
        <w:ind w:left="705" w:right="0" w:firstLine="0"/>
        <w:rPr>
          <w:rFonts w:asciiTheme="minorHAnsi" w:hAnsiTheme="minorHAnsi"/>
          <w:color w:val="auto"/>
        </w:rPr>
      </w:pPr>
    </w:p>
    <w:p w14:paraId="1C44BC93" w14:textId="7422A898" w:rsidR="001136E5" w:rsidRPr="005077AE" w:rsidRDefault="0060243D" w:rsidP="005B7F3E">
      <w:pPr>
        <w:numPr>
          <w:ilvl w:val="0"/>
          <w:numId w:val="1"/>
        </w:numPr>
        <w:ind w:right="0" w:hanging="360"/>
        <w:rPr>
          <w:rFonts w:asciiTheme="minorHAnsi" w:hAnsiTheme="minorHAnsi"/>
          <w:color w:val="auto"/>
        </w:rPr>
      </w:pPr>
      <w:r w:rsidRPr="00A22F16">
        <w:rPr>
          <w:rFonts w:asciiTheme="minorHAnsi" w:hAnsiTheme="minorHAnsi"/>
          <w:color w:val="auto"/>
        </w:rPr>
        <w:lastRenderedPageBreak/>
        <w:t>La note consultative de 2016 sur le fonds de partage des coûts</w:t>
      </w:r>
      <w:r w:rsidR="00700E7A" w:rsidRPr="00A22F16">
        <w:rPr>
          <w:rFonts w:asciiTheme="minorHAnsi" w:hAnsiTheme="minorHAnsi"/>
          <w:color w:val="auto"/>
        </w:rPr>
        <w:t xml:space="preserve"> du Groupe des Nations Unies pour le </w:t>
      </w:r>
      <w:proofErr w:type="gramStart"/>
      <w:r w:rsidR="00700E7A" w:rsidRPr="00A22F16">
        <w:rPr>
          <w:rFonts w:asciiTheme="minorHAnsi" w:hAnsiTheme="minorHAnsi"/>
          <w:color w:val="auto"/>
        </w:rPr>
        <w:t>développement  (</w:t>
      </w:r>
      <w:proofErr w:type="gramEnd"/>
      <w:r w:rsidR="00700E7A" w:rsidRPr="00A22F16">
        <w:rPr>
          <w:rFonts w:asciiTheme="minorHAnsi" w:hAnsiTheme="minorHAnsi"/>
          <w:color w:val="auto"/>
        </w:rPr>
        <w:t>GNUD), qui régissait les arrangements administratifs pour les RCO du monde entier à compter du 1</w:t>
      </w:r>
      <w:r w:rsidR="00700E7A" w:rsidRPr="00A22F16">
        <w:rPr>
          <w:rFonts w:asciiTheme="minorHAnsi" w:hAnsiTheme="minorHAnsi"/>
          <w:color w:val="auto"/>
          <w:vertAlign w:val="superscript"/>
        </w:rPr>
        <w:t>er</w:t>
      </w:r>
      <w:r w:rsidR="00700E7A" w:rsidRPr="00A22F16">
        <w:rPr>
          <w:rFonts w:asciiTheme="minorHAnsi" w:hAnsiTheme="minorHAnsi"/>
          <w:color w:val="auto"/>
        </w:rPr>
        <w:t xml:space="preserve"> janvier 2019, a été révoquée et n’est plus applicable. Tous les postes et processus financés pour le RCO provenan</w:t>
      </w:r>
      <w:r w:rsidR="005B7F3E" w:rsidRPr="00A22F16">
        <w:rPr>
          <w:rFonts w:asciiTheme="minorHAnsi" w:hAnsiTheme="minorHAnsi"/>
          <w:color w:val="auto"/>
        </w:rPr>
        <w:t xml:space="preserve">t de sources autres que le SPTF seront soumis aux politiques normales de recouvrent des coûts du PNUD. Par conséquent, un budget doit être prévu dans les budgets respectifs de la RCO non SPTF pour les coûts directs, indirects et opérationnels, par exemple, les espaces de bureau, les équipements, le recouvrement des coûts (GMS) et les UPL / LPL, selon le cas. </w:t>
      </w:r>
    </w:p>
    <w:p w14:paraId="61325305" w14:textId="77777777" w:rsidR="005B7F3E" w:rsidRPr="005077AE" w:rsidRDefault="005B7F3E" w:rsidP="005B7F3E">
      <w:pPr>
        <w:ind w:left="0" w:right="0" w:firstLine="0"/>
        <w:rPr>
          <w:rFonts w:asciiTheme="minorHAnsi" w:hAnsiTheme="minorHAnsi"/>
          <w:color w:val="auto"/>
        </w:rPr>
      </w:pPr>
    </w:p>
    <w:p w14:paraId="453F3AF1" w14:textId="77777777" w:rsidR="005D08AF" w:rsidRPr="00A22F16" w:rsidRDefault="005D08AF" w:rsidP="005D08AF">
      <w:pPr>
        <w:ind w:left="705" w:right="0" w:firstLine="0"/>
        <w:rPr>
          <w:rFonts w:asciiTheme="minorHAnsi" w:hAnsiTheme="minorHAnsi"/>
          <w:color w:val="auto"/>
        </w:rPr>
      </w:pPr>
      <w:r w:rsidRPr="00A22F16">
        <w:rPr>
          <w:rFonts w:asciiTheme="minorHAnsi" w:hAnsiTheme="minorHAnsi"/>
          <w:color w:val="auto"/>
        </w:rPr>
        <w:t xml:space="preserve">Les frais UPL / LPL pour le support RC s’appliquent </w:t>
      </w:r>
      <w:proofErr w:type="gramStart"/>
      <w:r w:rsidRPr="00A22F16">
        <w:rPr>
          <w:rFonts w:asciiTheme="minorHAnsi" w:hAnsiTheme="minorHAnsi"/>
          <w:color w:val="auto"/>
        </w:rPr>
        <w:t>à:</w:t>
      </w:r>
      <w:proofErr w:type="gramEnd"/>
    </w:p>
    <w:p w14:paraId="4176A5B1" w14:textId="47452064" w:rsidR="005D08AF" w:rsidRPr="005077AE" w:rsidRDefault="005D08AF" w:rsidP="005D08AF">
      <w:pPr>
        <w:pStyle w:val="ListParagraph"/>
        <w:numPr>
          <w:ilvl w:val="1"/>
          <w:numId w:val="6"/>
        </w:numPr>
        <w:ind w:right="0"/>
        <w:rPr>
          <w:rFonts w:asciiTheme="minorHAnsi" w:hAnsiTheme="minorHAnsi"/>
          <w:color w:val="auto"/>
        </w:rPr>
      </w:pPr>
      <w:r w:rsidRPr="005077AE">
        <w:rPr>
          <w:rFonts w:asciiTheme="minorHAnsi" w:hAnsiTheme="minorHAnsi"/>
          <w:color w:val="auto"/>
        </w:rPr>
        <w:t>Campagne</w:t>
      </w:r>
      <w:r w:rsidRPr="00A22F16">
        <w:rPr>
          <w:rFonts w:asciiTheme="minorHAnsi" w:hAnsiTheme="minorHAnsi"/>
          <w:color w:val="auto"/>
        </w:rPr>
        <w:t xml:space="preserve"> de recrutement au titre de l’activité 5 (Fonds 13816) - les frais UPL / LPL correspondant aux coûts directs du PNUD supportés pour le recrutement s’appliquent en plus du système </w:t>
      </w:r>
      <w:proofErr w:type="gramStart"/>
      <w:r w:rsidRPr="00A22F16">
        <w:rPr>
          <w:rFonts w:asciiTheme="minorHAnsi" w:hAnsiTheme="minorHAnsi"/>
          <w:color w:val="auto"/>
        </w:rPr>
        <w:t>GMS;</w:t>
      </w:r>
      <w:proofErr w:type="gramEnd"/>
    </w:p>
    <w:p w14:paraId="433C1EA4" w14:textId="77777777" w:rsidR="00744D61" w:rsidRPr="005077AE" w:rsidRDefault="00744D61" w:rsidP="00744D61">
      <w:pPr>
        <w:pStyle w:val="ListParagraph"/>
        <w:ind w:left="2196" w:right="0" w:firstLine="0"/>
        <w:rPr>
          <w:rFonts w:asciiTheme="minorHAnsi" w:hAnsiTheme="minorHAnsi"/>
          <w:color w:val="auto"/>
        </w:rPr>
      </w:pPr>
    </w:p>
    <w:p w14:paraId="4E54FFC3" w14:textId="3988BE7D" w:rsidR="005D08AF" w:rsidRPr="005077AE" w:rsidRDefault="005D08AF" w:rsidP="005D08AF">
      <w:pPr>
        <w:pStyle w:val="ListParagraph"/>
        <w:numPr>
          <w:ilvl w:val="1"/>
          <w:numId w:val="6"/>
        </w:numPr>
        <w:ind w:right="0"/>
        <w:rPr>
          <w:rFonts w:asciiTheme="minorHAnsi" w:hAnsiTheme="minorHAnsi"/>
          <w:color w:val="auto"/>
        </w:rPr>
      </w:pPr>
      <w:r w:rsidRPr="005077AE">
        <w:rPr>
          <w:rFonts w:asciiTheme="minorHAnsi" w:hAnsiTheme="minorHAnsi"/>
          <w:color w:val="auto"/>
        </w:rPr>
        <w:t>Fonds</w:t>
      </w:r>
      <w:r w:rsidRPr="00A22F16">
        <w:rPr>
          <w:rFonts w:asciiTheme="minorHAnsi" w:hAnsiTheme="minorHAnsi"/>
          <w:color w:val="auto"/>
        </w:rPr>
        <w:t xml:space="preserve"> de coordination au titre de l’activité 7 (fonds 13825) - les coûts directs du PNUD liés à l’appui aux activités relevant du fonds de coordination doivent être entièrement recouvrés à l’aide du programme UPL / </w:t>
      </w:r>
      <w:proofErr w:type="gramStart"/>
      <w:r w:rsidRPr="00A22F16">
        <w:rPr>
          <w:rFonts w:asciiTheme="minorHAnsi" w:hAnsiTheme="minorHAnsi"/>
          <w:color w:val="auto"/>
        </w:rPr>
        <w:t>LPL;</w:t>
      </w:r>
      <w:proofErr w:type="gramEnd"/>
    </w:p>
    <w:p w14:paraId="7470567D" w14:textId="77777777" w:rsidR="00744D61" w:rsidRPr="005077AE" w:rsidRDefault="00744D61" w:rsidP="00744D61">
      <w:pPr>
        <w:ind w:left="0" w:right="0" w:firstLine="0"/>
        <w:rPr>
          <w:rFonts w:asciiTheme="minorHAnsi" w:hAnsiTheme="minorHAnsi"/>
          <w:color w:val="auto"/>
        </w:rPr>
      </w:pPr>
    </w:p>
    <w:p w14:paraId="3F35A22A" w14:textId="77777777" w:rsidR="00CC0F1A" w:rsidRPr="005077AE" w:rsidRDefault="005D08AF" w:rsidP="00CC0F1A">
      <w:pPr>
        <w:pStyle w:val="ListParagraph"/>
        <w:numPr>
          <w:ilvl w:val="1"/>
          <w:numId w:val="6"/>
        </w:numPr>
        <w:ind w:right="0"/>
        <w:rPr>
          <w:rFonts w:asciiTheme="minorHAnsi" w:hAnsiTheme="minorHAnsi"/>
          <w:color w:val="auto"/>
        </w:rPr>
      </w:pPr>
      <w:r w:rsidRPr="005077AE">
        <w:rPr>
          <w:rFonts w:asciiTheme="minorHAnsi" w:hAnsiTheme="minorHAnsi"/>
          <w:color w:val="auto"/>
        </w:rPr>
        <w:t>Tous</w:t>
      </w:r>
      <w:r w:rsidR="00CC0F1A" w:rsidRPr="005077AE">
        <w:rPr>
          <w:rFonts w:asciiTheme="minorHAnsi" w:hAnsiTheme="minorHAnsi"/>
          <w:color w:val="auto"/>
        </w:rPr>
        <w:t xml:space="preserve"> </w:t>
      </w:r>
      <w:r w:rsidR="00CC0F1A" w:rsidRPr="00A22F16">
        <w:rPr>
          <w:rFonts w:asciiTheme="minorHAnsi" w:hAnsiTheme="minorHAnsi"/>
          <w:color w:val="auto"/>
        </w:rPr>
        <w:t xml:space="preserve">les autres services demandés par le CR qui ne font pas partie des solutions clé en main doivent être récupérés sur une base «au fur et à </w:t>
      </w:r>
      <w:proofErr w:type="gramStart"/>
      <w:r w:rsidR="00CC0F1A" w:rsidRPr="00A22F16">
        <w:rPr>
          <w:rFonts w:asciiTheme="minorHAnsi" w:hAnsiTheme="minorHAnsi"/>
          <w:color w:val="auto"/>
        </w:rPr>
        <w:t>mesure»</w:t>
      </w:r>
      <w:proofErr w:type="gramEnd"/>
      <w:r w:rsidR="00CC0F1A" w:rsidRPr="00A22F16">
        <w:rPr>
          <w:rFonts w:asciiTheme="minorHAnsi" w:hAnsiTheme="minorHAnsi"/>
          <w:color w:val="auto"/>
        </w:rPr>
        <w:t>, générant des coûts UPL / LPL, des coûts directs et des systèmes de gestion de contenu, selon le cas.</w:t>
      </w:r>
    </w:p>
    <w:p w14:paraId="644D1F9F" w14:textId="77777777" w:rsidR="000A5F55" w:rsidRPr="005077AE" w:rsidRDefault="000A5F55" w:rsidP="000A5F55">
      <w:pPr>
        <w:ind w:left="0" w:right="0" w:firstLine="0"/>
        <w:rPr>
          <w:rFonts w:asciiTheme="minorHAnsi" w:hAnsiTheme="minorHAnsi"/>
          <w:color w:val="auto"/>
        </w:rPr>
      </w:pPr>
    </w:p>
    <w:p w14:paraId="2AF495F0" w14:textId="57D109B6" w:rsidR="000A5F55" w:rsidRPr="005077AE" w:rsidRDefault="000A5F55" w:rsidP="000A5F55">
      <w:pPr>
        <w:ind w:left="705" w:right="0" w:firstLine="0"/>
        <w:rPr>
          <w:rFonts w:asciiTheme="minorHAnsi" w:hAnsiTheme="minorHAnsi"/>
          <w:color w:val="auto"/>
        </w:rPr>
      </w:pPr>
      <w:r w:rsidRPr="005077AE">
        <w:rPr>
          <w:rFonts w:asciiTheme="minorHAnsi" w:hAnsiTheme="minorHAnsi"/>
          <w:color w:val="auto"/>
        </w:rPr>
        <w:t>Pour</w:t>
      </w:r>
      <w:r w:rsidRPr="00A22F16">
        <w:rPr>
          <w:rFonts w:asciiTheme="minorHAnsi" w:hAnsiTheme="minorHAnsi"/>
          <w:color w:val="auto"/>
        </w:rPr>
        <w:t xml:space="preserve"> une not</w:t>
      </w:r>
      <w:r w:rsidR="00252168" w:rsidRPr="00A22F16">
        <w:rPr>
          <w:rFonts w:asciiTheme="minorHAnsi" w:hAnsiTheme="minorHAnsi"/>
          <w:color w:val="auto"/>
        </w:rPr>
        <w:t>e d'orientation plus détaillée, voir le</w:t>
      </w:r>
      <w:r w:rsidRPr="00A22F16">
        <w:rPr>
          <w:rFonts w:asciiTheme="minorHAnsi" w:hAnsiTheme="minorHAnsi"/>
          <w:color w:val="auto"/>
        </w:rPr>
        <w:t xml:space="preserve"> </w:t>
      </w:r>
      <w:hyperlink r:id="rId22" w:history="1">
        <w:r w:rsidRPr="00A22F16">
          <w:rPr>
            <w:rStyle w:val="Hyperlink"/>
            <w:rFonts w:asciiTheme="minorHAnsi" w:hAnsiTheme="minorHAnsi"/>
          </w:rPr>
          <w:t>site de l'ONU sur le système de développement.</w:t>
        </w:r>
      </w:hyperlink>
      <w:r w:rsidR="00252168" w:rsidRPr="00A22F16">
        <w:rPr>
          <w:rFonts w:asciiTheme="minorHAnsi" w:hAnsiTheme="minorHAnsi"/>
          <w:color w:val="auto"/>
        </w:rPr>
        <w:t xml:space="preserve"> </w:t>
      </w:r>
    </w:p>
    <w:p w14:paraId="70AABD70" w14:textId="7D4ACA97" w:rsidR="005B7F3E" w:rsidRPr="005077AE" w:rsidRDefault="005B7F3E" w:rsidP="005B7F3E">
      <w:pPr>
        <w:ind w:left="705" w:right="0" w:firstLine="0"/>
        <w:rPr>
          <w:rFonts w:asciiTheme="minorHAnsi" w:hAnsiTheme="minorHAnsi"/>
          <w:color w:val="auto"/>
        </w:rPr>
      </w:pPr>
    </w:p>
    <w:p w14:paraId="064B69AD" w14:textId="77777777" w:rsidR="005C6745" w:rsidRPr="005077AE" w:rsidRDefault="002C2248" w:rsidP="005C6745">
      <w:pPr>
        <w:pStyle w:val="NormalWeb"/>
        <w:shd w:val="clear" w:color="auto" w:fill="FFFFFF"/>
        <w:spacing w:before="0" w:beforeAutospacing="0" w:after="0" w:afterAutospacing="0"/>
        <w:rPr>
          <w:rFonts w:asciiTheme="minorHAnsi" w:hAnsiTheme="minorHAnsi"/>
          <w:color w:val="000000"/>
          <w:sz w:val="22"/>
          <w:szCs w:val="22"/>
          <w:lang w:val="fr-FR"/>
        </w:rPr>
      </w:pPr>
      <w:r w:rsidRPr="005077AE">
        <w:rPr>
          <w:rFonts w:asciiTheme="minorHAnsi" w:hAnsiTheme="minorHAnsi"/>
          <w:sz w:val="22"/>
          <w:szCs w:val="22"/>
          <w:lang w:val="fr-FR"/>
        </w:rPr>
        <w:t xml:space="preserve"> </w:t>
      </w:r>
      <w:proofErr w:type="gramStart"/>
      <w:r w:rsidR="005C6745" w:rsidRPr="005077AE">
        <w:rPr>
          <w:rFonts w:asciiTheme="minorHAnsi" w:hAnsiTheme="minorHAnsi"/>
          <w:b/>
          <w:bCs/>
          <w:color w:val="212121"/>
          <w:sz w:val="22"/>
          <w:szCs w:val="22"/>
          <w:u w:val="single"/>
          <w:bdr w:val="none" w:sz="0" w:space="0" w:color="auto" w:frame="1"/>
          <w:lang w:val="fr-FR"/>
        </w:rPr>
        <w:t>Avertissement:</w:t>
      </w:r>
      <w:proofErr w:type="gramEnd"/>
      <w:r w:rsidR="005C6745" w:rsidRPr="005077AE">
        <w:rPr>
          <w:rFonts w:asciiTheme="minorHAnsi" w:hAnsiTheme="minorHAns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1621B6F1" w14:textId="77777777" w:rsidR="005C6745" w:rsidRPr="005077AE" w:rsidRDefault="005C6745" w:rsidP="005C6745">
      <w:pPr>
        <w:pStyle w:val="NormalWeb"/>
        <w:shd w:val="clear" w:color="auto" w:fill="FFFFFF"/>
        <w:spacing w:before="0" w:beforeAutospacing="0" w:after="0" w:afterAutospacing="0"/>
        <w:rPr>
          <w:rFonts w:asciiTheme="minorHAnsi" w:hAnsiTheme="minorHAnsi"/>
          <w:color w:val="000000"/>
          <w:sz w:val="22"/>
          <w:szCs w:val="22"/>
          <w:lang w:val="fr-FR"/>
        </w:rPr>
      </w:pPr>
      <w:r w:rsidRPr="005077AE">
        <w:rPr>
          <w:rFonts w:asciiTheme="minorHAnsi" w:hAnsiTheme="minorHAnsi"/>
          <w:color w:val="212121"/>
          <w:sz w:val="22"/>
          <w:szCs w:val="22"/>
          <w:bdr w:val="none" w:sz="0" w:space="0" w:color="auto" w:frame="1"/>
          <w:lang w:val="fr-FR"/>
        </w:rPr>
        <w:t> </w:t>
      </w:r>
    </w:p>
    <w:p w14:paraId="2673EBA8" w14:textId="77777777" w:rsidR="005C6745" w:rsidRPr="005C6745" w:rsidRDefault="005C6745" w:rsidP="005C6745">
      <w:pPr>
        <w:pStyle w:val="NormalWeb"/>
        <w:shd w:val="clear" w:color="auto" w:fill="FFFFFF"/>
        <w:spacing w:before="0" w:beforeAutospacing="0" w:after="0" w:afterAutospacing="0"/>
        <w:jc w:val="both"/>
        <w:rPr>
          <w:rFonts w:asciiTheme="minorHAnsi" w:hAnsiTheme="minorHAnsi"/>
          <w:color w:val="000000"/>
          <w:sz w:val="22"/>
          <w:szCs w:val="22"/>
        </w:rPr>
      </w:pPr>
      <w:r w:rsidRPr="002B068E">
        <w:rPr>
          <w:rStyle w:val="markkhkobqe49"/>
          <w:rFonts w:asciiTheme="minorHAnsi" w:hAnsiTheme="minorHAnsi"/>
          <w:b/>
          <w:bCs/>
          <w:color w:val="000000"/>
          <w:sz w:val="22"/>
          <w:szCs w:val="22"/>
          <w:u w:val="single"/>
          <w:bdr w:val="none" w:sz="0" w:space="0" w:color="auto" w:frame="1"/>
          <w:lang w:val="en-GB"/>
        </w:rPr>
        <w:t>Disclaimer</w:t>
      </w:r>
      <w:r w:rsidRPr="002B068E">
        <w:rPr>
          <w:rFonts w:asciiTheme="minorHAnsi" w:hAnsiTheme="minorHAnsi"/>
          <w:b/>
          <w:bCs/>
          <w:color w:val="000000"/>
          <w:sz w:val="22"/>
          <w:szCs w:val="22"/>
          <w:u w:val="single"/>
          <w:bdr w:val="none" w:sz="0" w:space="0" w:color="auto" w:frame="1"/>
          <w:lang w:val="en-GB"/>
        </w:rPr>
        <w:t>:</w:t>
      </w:r>
      <w:r w:rsidRPr="00A22F16">
        <w:rPr>
          <w:rFonts w:asciiTheme="minorHAnsi" w:hAnsiTheme="minorHAns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54361009" w14:textId="35C7DE6D" w:rsidR="001C77BC" w:rsidRPr="005077AE" w:rsidRDefault="001C77BC">
      <w:pPr>
        <w:spacing w:after="0" w:line="259" w:lineRule="auto"/>
        <w:ind w:left="0" w:right="0" w:firstLine="0"/>
        <w:jc w:val="left"/>
        <w:rPr>
          <w:rFonts w:asciiTheme="minorHAnsi" w:hAnsiTheme="minorHAnsi"/>
          <w:color w:val="auto"/>
          <w:lang w:val="en-GB"/>
        </w:rPr>
      </w:pPr>
    </w:p>
    <w:p w14:paraId="4FACC3C1" w14:textId="6E82BCA1" w:rsidR="002B068E" w:rsidRPr="005077AE" w:rsidRDefault="002B068E" w:rsidP="002B068E">
      <w:pPr>
        <w:spacing w:after="0" w:line="259" w:lineRule="auto"/>
        <w:ind w:left="0" w:right="0" w:firstLine="0"/>
        <w:jc w:val="left"/>
        <w:rPr>
          <w:rFonts w:asciiTheme="minorHAnsi" w:hAnsiTheme="minorHAnsi"/>
          <w:color w:val="auto"/>
          <w:lang w:val="en-GB"/>
        </w:rPr>
      </w:pPr>
    </w:p>
    <w:sectPr w:rsidR="002B068E" w:rsidRPr="005077AE" w:rsidSect="004C38BD">
      <w:headerReference w:type="default" r:id="rId23"/>
      <w:footerReference w:type="even" r:id="rId24"/>
      <w:footerReference w:type="default" r:id="rId25"/>
      <w:footerReference w:type="first" r:id="rId26"/>
      <w:pgSz w:w="12240" w:h="15840"/>
      <w:pgMar w:top="1483" w:right="1433" w:bottom="1441"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149E" w14:textId="77777777" w:rsidR="004C7EFB" w:rsidRDefault="004C7EFB">
      <w:pPr>
        <w:spacing w:after="0" w:line="240" w:lineRule="auto"/>
      </w:pPr>
      <w:r>
        <w:separator/>
      </w:r>
    </w:p>
  </w:endnote>
  <w:endnote w:type="continuationSeparator" w:id="0">
    <w:p w14:paraId="6726F1EE" w14:textId="77777777" w:rsidR="004C7EFB" w:rsidRDefault="004C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0878A" w14:textId="77777777" w:rsidR="0062376C" w:rsidRDefault="0062376C">
    <w:pPr>
      <w:spacing w:after="0" w:line="259" w:lineRule="auto"/>
      <w:ind w:left="0" w:right="3"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173C8317" w14:textId="77777777" w:rsidR="0062376C" w:rsidRDefault="0062376C">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168E" w14:textId="23F7B289" w:rsidR="0062376C" w:rsidRDefault="0062376C">
    <w:pPr>
      <w:spacing w:after="0" w:line="259" w:lineRule="auto"/>
      <w:ind w:left="0" w:right="0" w:firstLine="0"/>
      <w:jc w:val="left"/>
    </w:pPr>
    <w:r>
      <w:t>Page </w:t>
    </w:r>
    <w:r>
      <w:rPr>
        <w:b/>
      </w:rPr>
      <w:fldChar w:fldCharType="begin"/>
    </w:r>
    <w:r>
      <w:rPr>
        <w:b/>
      </w:rPr>
      <w:instrText xml:space="preserve"> PAGE  \* Arabic  \* MERGEFORMAT </w:instrText>
    </w:r>
    <w:r>
      <w:rPr>
        <w:b/>
      </w:rPr>
      <w:fldChar w:fldCharType="separate"/>
    </w:r>
    <w:r w:rsidR="00767C48">
      <w:rPr>
        <w:b/>
        <w:noProof/>
      </w:rPr>
      <w:t>1</w:t>
    </w:r>
    <w:r>
      <w:rPr>
        <w:b/>
      </w:rPr>
      <w:fldChar w:fldCharType="end"/>
    </w:r>
    <w:r>
      <w:t xml:space="preserve"> de </w:t>
    </w:r>
    <w:fldSimple w:instr=" NUMPAGES  \* Arabic  \* MERGEFORMAT ">
      <w:r w:rsidR="00767C48" w:rsidRPr="00767C48">
        <w:rPr>
          <w:b/>
          <w:noProof/>
        </w:rPr>
        <w:t>6</w:t>
      </w:r>
    </w:fldSimple>
    <w:r>
      <w:t> </w:t>
    </w:r>
    <w:r w:rsidR="00C74038">
      <w:tab/>
    </w:r>
    <w:r w:rsidR="00C74038">
      <w:tab/>
    </w:r>
    <w:r w:rsidR="00C74038">
      <w:tab/>
    </w:r>
    <w:r w:rsidR="00C74038">
      <w:tab/>
    </w:r>
    <w:r>
      <w:t xml:space="preserve"> Date</w:t>
    </w:r>
    <w:r w:rsidR="00C74038">
      <w:t xml:space="preserve"> d’entrée en vigueur</w:t>
    </w:r>
    <w:r>
      <w:t xml:space="preserve"> : </w:t>
    </w:r>
    <w:r w:rsidR="00C74038">
      <w:t>23/11/2022</w:t>
    </w:r>
    <w:r w:rsidR="00C74038">
      <w:tab/>
    </w:r>
    <w:r w:rsidR="00C74038">
      <w:tab/>
    </w:r>
    <w:r>
      <w:t xml:space="preserve">Version # : </w:t>
    </w:r>
    <w:r w:rsidR="00C74038">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91D2" w14:textId="77777777" w:rsidR="0062376C" w:rsidRDefault="0062376C">
    <w:pPr>
      <w:spacing w:after="0" w:line="259" w:lineRule="auto"/>
      <w:ind w:left="0" w:right="3" w:firstLine="0"/>
      <w:jc w:val="center"/>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27C7DF23" w14:textId="77777777" w:rsidR="0062376C" w:rsidRDefault="0062376C">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D9C1" w14:textId="77777777" w:rsidR="004C7EFB" w:rsidRDefault="004C7EFB">
      <w:pPr>
        <w:spacing w:after="0" w:line="240" w:lineRule="auto"/>
      </w:pPr>
      <w:r>
        <w:separator/>
      </w:r>
    </w:p>
  </w:footnote>
  <w:footnote w:type="continuationSeparator" w:id="0">
    <w:p w14:paraId="7304B18A" w14:textId="77777777" w:rsidR="004C7EFB" w:rsidRDefault="004C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2590" w14:textId="2B6D6A5C" w:rsidR="0062376C" w:rsidRDefault="0062376C" w:rsidP="00C66FBF">
    <w:pPr>
      <w:pStyle w:val="Header"/>
      <w:spacing w:before="100" w:beforeAutospacing="1" w:after="100" w:afterAutospacing="1"/>
      <w:ind w:left="9730" w:right="43"/>
    </w:pPr>
    <w:r>
      <w:rPr>
        <w:noProof/>
        <w:lang w:val="en-US" w:eastAsia="en-US" w:bidi="ar-SA"/>
      </w:rPr>
      <w:drawing>
        <wp:inline distT="0" distB="0" distL="0" distR="0" wp14:anchorId="33C2B0F6" wp14:editId="0754BBDF">
          <wp:extent cx="312576" cy="597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570" b="15049"/>
                  <a:stretch/>
                </pic:blipFill>
                <pic:spPr bwMode="auto">
                  <a:xfrm>
                    <a:off x="0" y="0"/>
                    <a:ext cx="316462"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971BD"/>
    <w:multiLevelType w:val="hybridMultilevel"/>
    <w:tmpl w:val="86166EDA"/>
    <w:lvl w:ilvl="0" w:tplc="3C9EF58C">
      <w:start w:val="6"/>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694FD0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AA2A1C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364B3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BD8825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ABC109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C3EEA1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F1EFC6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84211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01F72D9"/>
    <w:multiLevelType w:val="hybridMultilevel"/>
    <w:tmpl w:val="8536E898"/>
    <w:lvl w:ilvl="0" w:tplc="9D6244A2">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E94F166">
      <w:start w:val="1"/>
      <w:numFmt w:val="lowerLetter"/>
      <w:lvlText w:val="(%2)"/>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9F81424">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2730B6BC">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EDB03E58">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44ACB6E">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4344658">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242DD82">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E6C9F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1F31E9D"/>
    <w:multiLevelType w:val="hybridMultilevel"/>
    <w:tmpl w:val="29D09704"/>
    <w:lvl w:ilvl="0" w:tplc="1C4E1E7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F07486"/>
    <w:multiLevelType w:val="hybridMultilevel"/>
    <w:tmpl w:val="FAC05BAE"/>
    <w:lvl w:ilvl="0" w:tplc="545EF3FE">
      <w:start w:val="2"/>
      <w:numFmt w:val="lowerRoman"/>
      <w:lvlText w:val="%1L"/>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3674D3"/>
    <w:multiLevelType w:val="hybridMultilevel"/>
    <w:tmpl w:val="459A9C88"/>
    <w:lvl w:ilvl="0" w:tplc="F51E32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D0F12"/>
    <w:multiLevelType w:val="hybridMultilevel"/>
    <w:tmpl w:val="D9785228"/>
    <w:lvl w:ilvl="0" w:tplc="48F0716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1762E3"/>
    <w:multiLevelType w:val="hybridMultilevel"/>
    <w:tmpl w:val="AA88C744"/>
    <w:lvl w:ilvl="0" w:tplc="4738B838">
      <w:start w:val="26"/>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4C11717F"/>
    <w:multiLevelType w:val="hybridMultilevel"/>
    <w:tmpl w:val="C44C2D18"/>
    <w:lvl w:ilvl="0" w:tplc="C4128F08">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5541E"/>
    <w:multiLevelType w:val="hybridMultilevel"/>
    <w:tmpl w:val="9A7AD208"/>
    <w:lvl w:ilvl="0" w:tplc="0116FD76">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75E55A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F00F3E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1B83FF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F944BC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1FE954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B9CDC5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5CDF1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FE450D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5A2C25D3"/>
    <w:multiLevelType w:val="hybridMultilevel"/>
    <w:tmpl w:val="7F0EA998"/>
    <w:lvl w:ilvl="0" w:tplc="A618938A">
      <w:start w:val="9"/>
      <w:numFmt w:val="lowerLetter"/>
      <w:lvlText w:val="%1."/>
      <w:lvlJc w:val="left"/>
      <w:pPr>
        <w:ind w:left="1460" w:hanging="7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61000880"/>
    <w:multiLevelType w:val="hybridMultilevel"/>
    <w:tmpl w:val="CB48FE0A"/>
    <w:lvl w:ilvl="0" w:tplc="658C24E4">
      <w:start w:val="9"/>
      <w:numFmt w:val="lowerLetter"/>
      <w:lvlText w:val="%1."/>
      <w:lvlJc w:val="left"/>
      <w:pPr>
        <w:ind w:left="1820" w:hanging="360"/>
      </w:pPr>
      <w:rPr>
        <w:rFonts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1" w15:restartNumberingAfterBreak="0">
    <w:nsid w:val="70E84D65"/>
    <w:multiLevelType w:val="hybridMultilevel"/>
    <w:tmpl w:val="AE405354"/>
    <w:lvl w:ilvl="0" w:tplc="584E27FC">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78EE6EE">
      <w:start w:val="1"/>
      <w:numFmt w:val="bullet"/>
      <w:lvlText w:val="•"/>
      <w:lvlJc w:val="left"/>
      <w:pPr>
        <w:ind w:left="1116"/>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F96E961E">
      <w:start w:val="1"/>
      <w:numFmt w:val="bullet"/>
      <w:lvlText w:val="▪"/>
      <w:lvlJc w:val="left"/>
      <w:pPr>
        <w:ind w:left="18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3" w:tplc="703AE0FE">
      <w:start w:val="1"/>
      <w:numFmt w:val="bullet"/>
      <w:lvlText w:val="•"/>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1F58E942">
      <w:start w:val="1"/>
      <w:numFmt w:val="bullet"/>
      <w:lvlText w:val="o"/>
      <w:lvlJc w:val="left"/>
      <w:pPr>
        <w:ind w:left="324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5" w:tplc="4D96003E">
      <w:start w:val="1"/>
      <w:numFmt w:val="bullet"/>
      <w:lvlText w:val="▪"/>
      <w:lvlJc w:val="left"/>
      <w:pPr>
        <w:ind w:left="396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6" w:tplc="C65409B2">
      <w:start w:val="1"/>
      <w:numFmt w:val="bullet"/>
      <w:lvlText w:val="•"/>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31A4CA40">
      <w:start w:val="1"/>
      <w:numFmt w:val="bullet"/>
      <w:lvlText w:val="o"/>
      <w:lvlJc w:val="left"/>
      <w:pPr>
        <w:ind w:left="540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lvl w:ilvl="8" w:tplc="891437B0">
      <w:start w:val="1"/>
      <w:numFmt w:val="bullet"/>
      <w:lvlText w:val="▪"/>
      <w:lvlJc w:val="left"/>
      <w:pPr>
        <w:ind w:left="6120"/>
      </w:pPr>
      <w:rPr>
        <w:rFonts w:ascii="Segoe UI Symbol" w:eastAsia="Segoe UI Symbol" w:hAnsi="Segoe UI Symbol" w:cs="Segoe UI Symbol"/>
        <w:b w:val="0"/>
        <w:i w:val="0"/>
        <w:strike w:val="0"/>
        <w:dstrike w:val="0"/>
        <w:color w:val="333333"/>
        <w:sz w:val="22"/>
        <w:szCs w:val="22"/>
        <w:u w:val="none" w:color="000000"/>
        <w:bdr w:val="none" w:sz="0" w:space="0" w:color="auto"/>
        <w:shd w:val="clear" w:color="auto" w:fill="auto"/>
        <w:vertAlign w:val="baseline"/>
      </w:rPr>
    </w:lvl>
  </w:abstractNum>
  <w:abstractNum w:abstractNumId="12" w15:restartNumberingAfterBreak="0">
    <w:nsid w:val="719543A4"/>
    <w:multiLevelType w:val="hybridMultilevel"/>
    <w:tmpl w:val="470AC6EA"/>
    <w:lvl w:ilvl="0" w:tplc="24CC2B4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86200E"/>
    <w:multiLevelType w:val="hybridMultilevel"/>
    <w:tmpl w:val="64F0ABEE"/>
    <w:lvl w:ilvl="0" w:tplc="FB28B370">
      <w:start w:val="1"/>
      <w:numFmt w:val="lowerLetter"/>
      <w:lvlText w:val="%1)"/>
      <w:lvlJc w:val="left"/>
      <w:pPr>
        <w:ind w:left="1476" w:hanging="360"/>
      </w:pPr>
      <w:rPr>
        <w:rFonts w:hint="default"/>
      </w:rPr>
    </w:lvl>
    <w:lvl w:ilvl="1" w:tplc="04090019">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4" w15:restartNumberingAfterBreak="0">
    <w:nsid w:val="7BEA1DF1"/>
    <w:multiLevelType w:val="hybridMultilevel"/>
    <w:tmpl w:val="51B8931A"/>
    <w:lvl w:ilvl="0" w:tplc="A81A810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C6C0954"/>
    <w:multiLevelType w:val="hybridMultilevel"/>
    <w:tmpl w:val="57CA58AA"/>
    <w:lvl w:ilvl="0" w:tplc="06344E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872082">
    <w:abstractNumId w:val="8"/>
  </w:num>
  <w:num w:numId="2" w16cid:durableId="1073702125">
    <w:abstractNumId w:val="0"/>
  </w:num>
  <w:num w:numId="3" w16cid:durableId="790518122">
    <w:abstractNumId w:val="1"/>
  </w:num>
  <w:num w:numId="4" w16cid:durableId="137233193">
    <w:abstractNumId w:val="11"/>
  </w:num>
  <w:num w:numId="5" w16cid:durableId="1334868590">
    <w:abstractNumId w:val="6"/>
  </w:num>
  <w:num w:numId="6" w16cid:durableId="60711118">
    <w:abstractNumId w:val="13"/>
  </w:num>
  <w:num w:numId="7" w16cid:durableId="1197885570">
    <w:abstractNumId w:val="2"/>
  </w:num>
  <w:num w:numId="8" w16cid:durableId="1602495653">
    <w:abstractNumId w:val="5"/>
  </w:num>
  <w:num w:numId="9" w16cid:durableId="210920841">
    <w:abstractNumId w:val="14"/>
  </w:num>
  <w:num w:numId="10" w16cid:durableId="602692897">
    <w:abstractNumId w:val="3"/>
  </w:num>
  <w:num w:numId="11" w16cid:durableId="2028091817">
    <w:abstractNumId w:val="15"/>
  </w:num>
  <w:num w:numId="12" w16cid:durableId="109210734">
    <w:abstractNumId w:val="12"/>
  </w:num>
  <w:num w:numId="13" w16cid:durableId="669988037">
    <w:abstractNumId w:val="7"/>
  </w:num>
  <w:num w:numId="14" w16cid:durableId="1474757121">
    <w:abstractNumId w:val="4"/>
  </w:num>
  <w:num w:numId="15" w16cid:durableId="321009478">
    <w:abstractNumId w:val="9"/>
  </w:num>
  <w:num w:numId="16" w16cid:durableId="936794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BC"/>
    <w:rsid w:val="00084473"/>
    <w:rsid w:val="000963E6"/>
    <w:rsid w:val="000A5F55"/>
    <w:rsid w:val="000C0A9F"/>
    <w:rsid w:val="000C0D76"/>
    <w:rsid w:val="000E395E"/>
    <w:rsid w:val="001136E5"/>
    <w:rsid w:val="00124015"/>
    <w:rsid w:val="00155C0C"/>
    <w:rsid w:val="00182840"/>
    <w:rsid w:val="001C77BC"/>
    <w:rsid w:val="001E0BB2"/>
    <w:rsid w:val="001F4C10"/>
    <w:rsid w:val="001F5676"/>
    <w:rsid w:val="00213431"/>
    <w:rsid w:val="0024355A"/>
    <w:rsid w:val="002459D2"/>
    <w:rsid w:val="00252168"/>
    <w:rsid w:val="00276E55"/>
    <w:rsid w:val="002B068E"/>
    <w:rsid w:val="002C2248"/>
    <w:rsid w:val="002D69FD"/>
    <w:rsid w:val="002E39B4"/>
    <w:rsid w:val="002F3172"/>
    <w:rsid w:val="003218CD"/>
    <w:rsid w:val="0039797C"/>
    <w:rsid w:val="003B0FF3"/>
    <w:rsid w:val="003C2B9B"/>
    <w:rsid w:val="003E640D"/>
    <w:rsid w:val="003E70BD"/>
    <w:rsid w:val="00440EF4"/>
    <w:rsid w:val="004B3AF9"/>
    <w:rsid w:val="004C38BD"/>
    <w:rsid w:val="004C7EFB"/>
    <w:rsid w:val="004E580E"/>
    <w:rsid w:val="004E6E73"/>
    <w:rsid w:val="005077AE"/>
    <w:rsid w:val="00521311"/>
    <w:rsid w:val="00537CC4"/>
    <w:rsid w:val="005445F3"/>
    <w:rsid w:val="00544A56"/>
    <w:rsid w:val="005545BD"/>
    <w:rsid w:val="00557B3E"/>
    <w:rsid w:val="00564A4B"/>
    <w:rsid w:val="00583099"/>
    <w:rsid w:val="005A4479"/>
    <w:rsid w:val="005B3009"/>
    <w:rsid w:val="005B7F3E"/>
    <w:rsid w:val="005C6745"/>
    <w:rsid w:val="005D08AF"/>
    <w:rsid w:val="005D09C1"/>
    <w:rsid w:val="005D2061"/>
    <w:rsid w:val="0060243D"/>
    <w:rsid w:val="0062376C"/>
    <w:rsid w:val="006326A8"/>
    <w:rsid w:val="006608CF"/>
    <w:rsid w:val="00665755"/>
    <w:rsid w:val="006725F4"/>
    <w:rsid w:val="006E18F5"/>
    <w:rsid w:val="00700E7A"/>
    <w:rsid w:val="00701120"/>
    <w:rsid w:val="007434BA"/>
    <w:rsid w:val="00744D61"/>
    <w:rsid w:val="00757060"/>
    <w:rsid w:val="007625DB"/>
    <w:rsid w:val="00767C48"/>
    <w:rsid w:val="007B35EE"/>
    <w:rsid w:val="007D4EC7"/>
    <w:rsid w:val="00805ACD"/>
    <w:rsid w:val="00812085"/>
    <w:rsid w:val="00822AFD"/>
    <w:rsid w:val="00831C4A"/>
    <w:rsid w:val="008A67DB"/>
    <w:rsid w:val="008F4B55"/>
    <w:rsid w:val="00936B3B"/>
    <w:rsid w:val="00953055"/>
    <w:rsid w:val="009C2F95"/>
    <w:rsid w:val="00A22F16"/>
    <w:rsid w:val="00A516CA"/>
    <w:rsid w:val="00A529F5"/>
    <w:rsid w:val="00A7297A"/>
    <w:rsid w:val="00A84285"/>
    <w:rsid w:val="00AC0875"/>
    <w:rsid w:val="00AC5BCA"/>
    <w:rsid w:val="00AE3634"/>
    <w:rsid w:val="00B35B45"/>
    <w:rsid w:val="00B758E2"/>
    <w:rsid w:val="00BA091D"/>
    <w:rsid w:val="00BB2148"/>
    <w:rsid w:val="00BD1790"/>
    <w:rsid w:val="00C07E8B"/>
    <w:rsid w:val="00C129AC"/>
    <w:rsid w:val="00C17331"/>
    <w:rsid w:val="00C24C2A"/>
    <w:rsid w:val="00C254D6"/>
    <w:rsid w:val="00C37FEE"/>
    <w:rsid w:val="00C524D1"/>
    <w:rsid w:val="00C66FBF"/>
    <w:rsid w:val="00C74038"/>
    <w:rsid w:val="00CC0F1A"/>
    <w:rsid w:val="00CC7015"/>
    <w:rsid w:val="00CD3A57"/>
    <w:rsid w:val="00CF55CE"/>
    <w:rsid w:val="00CF6C97"/>
    <w:rsid w:val="00D30E95"/>
    <w:rsid w:val="00D8644B"/>
    <w:rsid w:val="00DE542A"/>
    <w:rsid w:val="00DF5BAD"/>
    <w:rsid w:val="00E4753C"/>
    <w:rsid w:val="00E74782"/>
    <w:rsid w:val="00EB511A"/>
    <w:rsid w:val="00EC1AA3"/>
    <w:rsid w:val="00EE2128"/>
    <w:rsid w:val="00EE26C2"/>
    <w:rsid w:val="00F00411"/>
    <w:rsid w:val="00F109E7"/>
    <w:rsid w:val="00F31582"/>
    <w:rsid w:val="00FC353D"/>
    <w:rsid w:val="00FC3BA4"/>
    <w:rsid w:val="5AF0F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86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38BD"/>
    <w:pPr>
      <w:spacing w:after="5" w:line="247" w:lineRule="auto"/>
      <w:ind w:left="730" w:right="6" w:hanging="370"/>
      <w:jc w:val="both"/>
    </w:pPr>
    <w:rPr>
      <w:rFonts w:ascii="Calibri" w:eastAsia="Calibri" w:hAnsi="Calibri" w:cs="Calibri"/>
      <w:color w:val="333333"/>
    </w:rPr>
  </w:style>
  <w:style w:type="paragraph" w:styleId="Heading1">
    <w:name w:val="heading 1"/>
    <w:next w:val="Normal"/>
    <w:link w:val="Heading1Char"/>
    <w:uiPriority w:val="9"/>
    <w:unhideWhenUsed/>
    <w:qFormat/>
    <w:rsid w:val="004C38BD"/>
    <w:pPr>
      <w:keepNext/>
      <w:keepLines/>
      <w:spacing w:after="0" w:line="25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38BD"/>
    <w:rPr>
      <w:rFonts w:ascii="Calibri" w:eastAsia="Calibri" w:hAnsi="Calibri" w:cs="Calibri"/>
      <w:b/>
      <w:color w:val="333333"/>
      <w:sz w:val="22"/>
    </w:rPr>
  </w:style>
  <w:style w:type="character" w:styleId="Hyperlink">
    <w:name w:val="Hyperlink"/>
    <w:basedOn w:val="DefaultParagraphFont"/>
    <w:uiPriority w:val="99"/>
    <w:unhideWhenUsed/>
    <w:rsid w:val="000C0D76"/>
    <w:rPr>
      <w:color w:val="0000FF" w:themeColor="hyperlink"/>
      <w:u w:val="single"/>
    </w:rPr>
  </w:style>
  <w:style w:type="paragraph" w:styleId="ListParagraph">
    <w:name w:val="List Paragraph"/>
    <w:basedOn w:val="Normal"/>
    <w:uiPriority w:val="34"/>
    <w:qFormat/>
    <w:rsid w:val="000C0D76"/>
    <w:pPr>
      <w:ind w:left="720"/>
      <w:contextualSpacing/>
    </w:pPr>
  </w:style>
  <w:style w:type="paragraph" w:styleId="Header">
    <w:name w:val="header"/>
    <w:basedOn w:val="Normal"/>
    <w:link w:val="HeaderChar"/>
    <w:uiPriority w:val="99"/>
    <w:unhideWhenUsed/>
    <w:rsid w:val="0008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473"/>
    <w:rPr>
      <w:rFonts w:ascii="Calibri" w:eastAsia="Calibri" w:hAnsi="Calibri" w:cs="Calibri"/>
      <w:color w:val="333333"/>
    </w:rPr>
  </w:style>
  <w:style w:type="character" w:styleId="PlaceholderText">
    <w:name w:val="Placeholder Text"/>
    <w:basedOn w:val="DefaultParagraphFont"/>
    <w:uiPriority w:val="99"/>
    <w:semiHidden/>
    <w:rsid w:val="00084473"/>
    <w:rPr>
      <w:color w:val="808080"/>
    </w:rPr>
  </w:style>
  <w:style w:type="paragraph" w:styleId="BalloonText">
    <w:name w:val="Balloon Text"/>
    <w:basedOn w:val="Normal"/>
    <w:link w:val="BalloonTextChar"/>
    <w:uiPriority w:val="99"/>
    <w:semiHidden/>
    <w:unhideWhenUsed/>
    <w:rsid w:val="001F4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10"/>
    <w:rPr>
      <w:rFonts w:ascii="Tahoma" w:eastAsia="Calibri" w:hAnsi="Tahoma" w:cs="Tahoma"/>
      <w:color w:val="333333"/>
      <w:sz w:val="16"/>
      <w:szCs w:val="16"/>
    </w:rPr>
  </w:style>
  <w:style w:type="paragraph" w:styleId="DocumentMap">
    <w:name w:val="Document Map"/>
    <w:basedOn w:val="Normal"/>
    <w:link w:val="DocumentMapChar"/>
    <w:uiPriority w:val="99"/>
    <w:semiHidden/>
    <w:unhideWhenUsed/>
    <w:rsid w:val="005A44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A4479"/>
    <w:rPr>
      <w:rFonts w:ascii="Times New Roman" w:eastAsia="Calibri" w:hAnsi="Times New Roman" w:cs="Times New Roman"/>
      <w:color w:val="333333"/>
      <w:sz w:val="24"/>
      <w:szCs w:val="24"/>
    </w:rPr>
  </w:style>
  <w:style w:type="paragraph" w:styleId="HTMLPreformatted">
    <w:name w:val="HTML Preformatted"/>
    <w:basedOn w:val="Normal"/>
    <w:link w:val="HTMLPreformattedChar"/>
    <w:uiPriority w:val="99"/>
    <w:semiHidden/>
    <w:unhideWhenUsed/>
    <w:rsid w:val="005A4479"/>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5A4479"/>
    <w:rPr>
      <w:rFonts w:ascii="Courier" w:eastAsia="Calibri" w:hAnsi="Courier" w:cs="Calibri"/>
      <w:color w:val="333333"/>
      <w:sz w:val="20"/>
      <w:szCs w:val="20"/>
    </w:rPr>
  </w:style>
  <w:style w:type="character" w:styleId="FollowedHyperlink">
    <w:name w:val="FollowedHyperlink"/>
    <w:basedOn w:val="DefaultParagraphFont"/>
    <w:uiPriority w:val="99"/>
    <w:semiHidden/>
    <w:unhideWhenUsed/>
    <w:rsid w:val="00124015"/>
    <w:rPr>
      <w:color w:val="800080" w:themeColor="followedHyperlink"/>
      <w:u w:val="single"/>
    </w:rPr>
  </w:style>
  <w:style w:type="paragraph" w:styleId="NormalWeb">
    <w:name w:val="Normal (Web)"/>
    <w:basedOn w:val="Normal"/>
    <w:uiPriority w:val="99"/>
    <w:semiHidden/>
    <w:unhideWhenUsed/>
    <w:rsid w:val="005C6745"/>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lang w:val="en-US" w:eastAsia="en-US" w:bidi="ar-SA"/>
    </w:rPr>
  </w:style>
  <w:style w:type="character" w:customStyle="1" w:styleId="markkhkobqe49">
    <w:name w:val="markkhkobqe49"/>
    <w:basedOn w:val="DefaultParagraphFont"/>
    <w:rsid w:val="005C6745"/>
  </w:style>
  <w:style w:type="character" w:styleId="UnresolvedMention">
    <w:name w:val="Unresolved Mention"/>
    <w:basedOn w:val="DefaultParagraphFont"/>
    <w:uiPriority w:val="99"/>
    <w:rsid w:val="00AE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6615">
      <w:bodyDiv w:val="1"/>
      <w:marLeft w:val="0"/>
      <w:marRight w:val="0"/>
      <w:marTop w:val="0"/>
      <w:marBottom w:val="0"/>
      <w:divBdr>
        <w:top w:val="none" w:sz="0" w:space="0" w:color="auto"/>
        <w:left w:val="none" w:sz="0" w:space="0" w:color="auto"/>
        <w:bottom w:val="none" w:sz="0" w:space="0" w:color="auto"/>
        <w:right w:val="none" w:sz="0" w:space="0" w:color="auto"/>
      </w:divBdr>
    </w:div>
    <w:div w:id="118762721">
      <w:bodyDiv w:val="1"/>
      <w:marLeft w:val="0"/>
      <w:marRight w:val="0"/>
      <w:marTop w:val="0"/>
      <w:marBottom w:val="0"/>
      <w:divBdr>
        <w:top w:val="none" w:sz="0" w:space="0" w:color="auto"/>
        <w:left w:val="none" w:sz="0" w:space="0" w:color="auto"/>
        <w:bottom w:val="none" w:sz="0" w:space="0" w:color="auto"/>
        <w:right w:val="none" w:sz="0" w:space="0" w:color="auto"/>
      </w:divBdr>
    </w:div>
    <w:div w:id="205651977">
      <w:bodyDiv w:val="1"/>
      <w:marLeft w:val="0"/>
      <w:marRight w:val="0"/>
      <w:marTop w:val="0"/>
      <w:marBottom w:val="0"/>
      <w:divBdr>
        <w:top w:val="none" w:sz="0" w:space="0" w:color="auto"/>
        <w:left w:val="none" w:sz="0" w:space="0" w:color="auto"/>
        <w:bottom w:val="none" w:sz="0" w:space="0" w:color="auto"/>
        <w:right w:val="none" w:sz="0" w:space="0" w:color="auto"/>
      </w:divBdr>
    </w:div>
    <w:div w:id="288513637">
      <w:bodyDiv w:val="1"/>
      <w:marLeft w:val="0"/>
      <w:marRight w:val="0"/>
      <w:marTop w:val="0"/>
      <w:marBottom w:val="0"/>
      <w:divBdr>
        <w:top w:val="none" w:sz="0" w:space="0" w:color="auto"/>
        <w:left w:val="none" w:sz="0" w:space="0" w:color="auto"/>
        <w:bottom w:val="none" w:sz="0" w:space="0" w:color="auto"/>
        <w:right w:val="none" w:sz="0" w:space="0" w:color="auto"/>
      </w:divBdr>
    </w:div>
    <w:div w:id="322511540">
      <w:bodyDiv w:val="1"/>
      <w:marLeft w:val="0"/>
      <w:marRight w:val="0"/>
      <w:marTop w:val="0"/>
      <w:marBottom w:val="0"/>
      <w:divBdr>
        <w:top w:val="none" w:sz="0" w:space="0" w:color="auto"/>
        <w:left w:val="none" w:sz="0" w:space="0" w:color="auto"/>
        <w:bottom w:val="none" w:sz="0" w:space="0" w:color="auto"/>
        <w:right w:val="none" w:sz="0" w:space="0" w:color="auto"/>
      </w:divBdr>
    </w:div>
    <w:div w:id="342559437">
      <w:bodyDiv w:val="1"/>
      <w:marLeft w:val="0"/>
      <w:marRight w:val="0"/>
      <w:marTop w:val="0"/>
      <w:marBottom w:val="0"/>
      <w:divBdr>
        <w:top w:val="none" w:sz="0" w:space="0" w:color="auto"/>
        <w:left w:val="none" w:sz="0" w:space="0" w:color="auto"/>
        <w:bottom w:val="none" w:sz="0" w:space="0" w:color="auto"/>
        <w:right w:val="none" w:sz="0" w:space="0" w:color="auto"/>
      </w:divBdr>
    </w:div>
    <w:div w:id="442192313">
      <w:bodyDiv w:val="1"/>
      <w:marLeft w:val="0"/>
      <w:marRight w:val="0"/>
      <w:marTop w:val="0"/>
      <w:marBottom w:val="0"/>
      <w:divBdr>
        <w:top w:val="none" w:sz="0" w:space="0" w:color="auto"/>
        <w:left w:val="none" w:sz="0" w:space="0" w:color="auto"/>
        <w:bottom w:val="none" w:sz="0" w:space="0" w:color="auto"/>
        <w:right w:val="none" w:sz="0" w:space="0" w:color="auto"/>
      </w:divBdr>
    </w:div>
    <w:div w:id="802693381">
      <w:bodyDiv w:val="1"/>
      <w:marLeft w:val="0"/>
      <w:marRight w:val="0"/>
      <w:marTop w:val="0"/>
      <w:marBottom w:val="0"/>
      <w:divBdr>
        <w:top w:val="none" w:sz="0" w:space="0" w:color="auto"/>
        <w:left w:val="none" w:sz="0" w:space="0" w:color="auto"/>
        <w:bottom w:val="none" w:sz="0" w:space="0" w:color="auto"/>
        <w:right w:val="none" w:sz="0" w:space="0" w:color="auto"/>
      </w:divBdr>
    </w:div>
    <w:div w:id="894971678">
      <w:bodyDiv w:val="1"/>
      <w:marLeft w:val="0"/>
      <w:marRight w:val="0"/>
      <w:marTop w:val="0"/>
      <w:marBottom w:val="0"/>
      <w:divBdr>
        <w:top w:val="none" w:sz="0" w:space="0" w:color="auto"/>
        <w:left w:val="none" w:sz="0" w:space="0" w:color="auto"/>
        <w:bottom w:val="none" w:sz="0" w:space="0" w:color="auto"/>
        <w:right w:val="none" w:sz="0" w:space="0" w:color="auto"/>
      </w:divBdr>
    </w:div>
    <w:div w:id="943922894">
      <w:bodyDiv w:val="1"/>
      <w:marLeft w:val="0"/>
      <w:marRight w:val="0"/>
      <w:marTop w:val="0"/>
      <w:marBottom w:val="0"/>
      <w:divBdr>
        <w:top w:val="none" w:sz="0" w:space="0" w:color="auto"/>
        <w:left w:val="none" w:sz="0" w:space="0" w:color="auto"/>
        <w:bottom w:val="none" w:sz="0" w:space="0" w:color="auto"/>
        <w:right w:val="none" w:sz="0" w:space="0" w:color="auto"/>
      </w:divBdr>
    </w:div>
    <w:div w:id="986085995">
      <w:bodyDiv w:val="1"/>
      <w:marLeft w:val="0"/>
      <w:marRight w:val="0"/>
      <w:marTop w:val="0"/>
      <w:marBottom w:val="0"/>
      <w:divBdr>
        <w:top w:val="none" w:sz="0" w:space="0" w:color="auto"/>
        <w:left w:val="none" w:sz="0" w:space="0" w:color="auto"/>
        <w:bottom w:val="none" w:sz="0" w:space="0" w:color="auto"/>
        <w:right w:val="none" w:sz="0" w:space="0" w:color="auto"/>
      </w:divBdr>
    </w:div>
    <w:div w:id="1038629272">
      <w:bodyDiv w:val="1"/>
      <w:marLeft w:val="0"/>
      <w:marRight w:val="0"/>
      <w:marTop w:val="0"/>
      <w:marBottom w:val="0"/>
      <w:divBdr>
        <w:top w:val="none" w:sz="0" w:space="0" w:color="auto"/>
        <w:left w:val="none" w:sz="0" w:space="0" w:color="auto"/>
        <w:bottom w:val="none" w:sz="0" w:space="0" w:color="auto"/>
        <w:right w:val="none" w:sz="0" w:space="0" w:color="auto"/>
      </w:divBdr>
    </w:div>
    <w:div w:id="1046442158">
      <w:bodyDiv w:val="1"/>
      <w:marLeft w:val="0"/>
      <w:marRight w:val="0"/>
      <w:marTop w:val="0"/>
      <w:marBottom w:val="0"/>
      <w:divBdr>
        <w:top w:val="none" w:sz="0" w:space="0" w:color="auto"/>
        <w:left w:val="none" w:sz="0" w:space="0" w:color="auto"/>
        <w:bottom w:val="none" w:sz="0" w:space="0" w:color="auto"/>
        <w:right w:val="none" w:sz="0" w:space="0" w:color="auto"/>
      </w:divBdr>
    </w:div>
    <w:div w:id="1050694200">
      <w:bodyDiv w:val="1"/>
      <w:marLeft w:val="0"/>
      <w:marRight w:val="0"/>
      <w:marTop w:val="0"/>
      <w:marBottom w:val="0"/>
      <w:divBdr>
        <w:top w:val="none" w:sz="0" w:space="0" w:color="auto"/>
        <w:left w:val="none" w:sz="0" w:space="0" w:color="auto"/>
        <w:bottom w:val="none" w:sz="0" w:space="0" w:color="auto"/>
        <w:right w:val="none" w:sz="0" w:space="0" w:color="auto"/>
      </w:divBdr>
    </w:div>
    <w:div w:id="1362318666">
      <w:bodyDiv w:val="1"/>
      <w:marLeft w:val="0"/>
      <w:marRight w:val="0"/>
      <w:marTop w:val="0"/>
      <w:marBottom w:val="0"/>
      <w:divBdr>
        <w:top w:val="none" w:sz="0" w:space="0" w:color="auto"/>
        <w:left w:val="none" w:sz="0" w:space="0" w:color="auto"/>
        <w:bottom w:val="none" w:sz="0" w:space="0" w:color="auto"/>
        <w:right w:val="none" w:sz="0" w:space="0" w:color="auto"/>
      </w:divBdr>
    </w:div>
    <w:div w:id="1367945375">
      <w:bodyDiv w:val="1"/>
      <w:marLeft w:val="0"/>
      <w:marRight w:val="0"/>
      <w:marTop w:val="0"/>
      <w:marBottom w:val="0"/>
      <w:divBdr>
        <w:top w:val="none" w:sz="0" w:space="0" w:color="auto"/>
        <w:left w:val="none" w:sz="0" w:space="0" w:color="auto"/>
        <w:bottom w:val="none" w:sz="0" w:space="0" w:color="auto"/>
        <w:right w:val="none" w:sz="0" w:space="0" w:color="auto"/>
      </w:divBdr>
    </w:div>
    <w:div w:id="1442338636">
      <w:bodyDiv w:val="1"/>
      <w:marLeft w:val="0"/>
      <w:marRight w:val="0"/>
      <w:marTop w:val="0"/>
      <w:marBottom w:val="0"/>
      <w:divBdr>
        <w:top w:val="none" w:sz="0" w:space="0" w:color="auto"/>
        <w:left w:val="none" w:sz="0" w:space="0" w:color="auto"/>
        <w:bottom w:val="none" w:sz="0" w:space="0" w:color="auto"/>
        <w:right w:val="none" w:sz="0" w:space="0" w:color="auto"/>
      </w:divBdr>
    </w:div>
    <w:div w:id="1461532616">
      <w:bodyDiv w:val="1"/>
      <w:marLeft w:val="0"/>
      <w:marRight w:val="0"/>
      <w:marTop w:val="0"/>
      <w:marBottom w:val="0"/>
      <w:divBdr>
        <w:top w:val="none" w:sz="0" w:space="0" w:color="auto"/>
        <w:left w:val="none" w:sz="0" w:space="0" w:color="auto"/>
        <w:bottom w:val="none" w:sz="0" w:space="0" w:color="auto"/>
        <w:right w:val="none" w:sz="0" w:space="0" w:color="auto"/>
      </w:divBdr>
    </w:div>
    <w:div w:id="1640497639">
      <w:bodyDiv w:val="1"/>
      <w:marLeft w:val="0"/>
      <w:marRight w:val="0"/>
      <w:marTop w:val="0"/>
      <w:marBottom w:val="0"/>
      <w:divBdr>
        <w:top w:val="none" w:sz="0" w:space="0" w:color="auto"/>
        <w:left w:val="none" w:sz="0" w:space="0" w:color="auto"/>
        <w:bottom w:val="none" w:sz="0" w:space="0" w:color="auto"/>
        <w:right w:val="none" w:sz="0" w:space="0" w:color="auto"/>
      </w:divBdr>
    </w:div>
    <w:div w:id="1794638099">
      <w:bodyDiv w:val="1"/>
      <w:marLeft w:val="0"/>
      <w:marRight w:val="0"/>
      <w:marTop w:val="0"/>
      <w:marBottom w:val="0"/>
      <w:divBdr>
        <w:top w:val="none" w:sz="0" w:space="0" w:color="auto"/>
        <w:left w:val="none" w:sz="0" w:space="0" w:color="auto"/>
        <w:bottom w:val="none" w:sz="0" w:space="0" w:color="auto"/>
        <w:right w:val="none" w:sz="0" w:space="0" w:color="auto"/>
      </w:divBdr>
    </w:div>
    <w:div w:id="194114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pb/Partnerships%20Library/Forms/AllItems.aspx" TargetMode="External"/><Relationship Id="rId18" Type="http://schemas.openxmlformats.org/officeDocument/2006/relationships/hyperlink" Target="https://popp.undp.org/document/planning-and-paying-delivery-enabling-services-projec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opp.undp.org/document/unv-guidelines-cost-recovery" TargetMode="External"/><Relationship Id="rId7" Type="http://schemas.openxmlformats.org/officeDocument/2006/relationships/styles" Target="styles.xml"/><Relationship Id="rId12" Type="http://schemas.openxmlformats.org/officeDocument/2006/relationships/hyperlink" Target="https://intranet.undp.org/unit/pb/Partnerships%20Library/Forms/AllItems.aspx" TargetMode="External"/><Relationship Id="rId17" Type="http://schemas.openxmlformats.org/officeDocument/2006/relationships/hyperlink" Target="https://intranet.undp.org/unit/ofrm/Financial%20Resource%20Management%20Policies/Forms/By%20FBP%20Document%20Category.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tranet.undp.org/unit/ofrm/Financial%20Resource%20Management%20Policies/Forms/By%20FBP%20Document%20Category.aspx" TargetMode="External"/><Relationship Id="rId20" Type="http://schemas.openxmlformats.org/officeDocument/2006/relationships/hyperlink" Target="https://popp.undp.org/fr/node/116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intranet.undp.org/unit/ofrm/Financial%20Resource%20Management%20Policies/Forms/By%20FBP%20Document%20Category.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policy-page/use-upl-and-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unit/pb/Partnerships%20Library/Forms/AllItems.aspx" TargetMode="External"/><Relationship Id="rId22" Type="http://schemas.openxmlformats.org/officeDocument/2006/relationships/hyperlink" Target="https://intranet.undp.org/UNDSreform/SitePages/OverviewRef.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fdd275df63d45dd4ab3810418e4e53bb">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997e97aa1492ac80252a18d0a7c2ea4b"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UNITBMS-1904581467-103</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1536</UNDP_POPP_FILEVERSION>
    <UNDP_POPP_REFITEM_VERSION xmlns="8264c5cc-ec60-4b56-8111-ce635d3d139a">2</UNDP_POPP_REFITEM_VERSION>
    <UNDP_POPP_ISACTIVE xmlns="8264c5cc-ec60-4b56-8111-ce635d3d139a">true</UNDP_POPP_ISACTIVE>
    <UNDP_POPP_TITLE_EN xmlns="8264c5cc-ec60-4b56-8111-ce635d3d139a">Système de prix universel et système de prix locaux</UNDP_POPP_TITLE_EN>
    <_dlc_DocIdUrl xmlns="8264c5cc-ec60-4b56-8111-ce635d3d139a">
      <Url>https://intranet.undp.org/unit/bms/dir/internal/init_popp/_layouts/15/DocIdRedir.aspx?ID=UNITBMS-1904581467-103</Url>
      <Description>UNITBMS-1904581467-103</Description>
    </_dlc_DocIdUrl>
    <DLCPolicyLabelLock xmlns="e560140e-7b2f-4392-90df-e7567e3021a3" xsi:nil="true"/>
    <DLCPolicyLabelClientValue xmlns="e560140e-7b2f-4392-90df-e7567e3021a3">Effective Date: {Effective Date}                                                Version #: 2.0</DLCPolicyLabelClientValue>
    <UNDP_POPP_BUSINESSUNITID_HIDDEN xmlns="8264c5cc-ec60-4b56-8111-ce635d3d139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92D0588-813C-4B0C-AE41-FE247C7DF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87ED6-8771-4857-A2F3-8162629D96AD}">
  <ds:schemaRefs>
    <ds:schemaRef ds:uri="http://schemas.microsoft.com/sharepoint/v3/contenttype/forms"/>
  </ds:schemaRefs>
</ds:datastoreItem>
</file>

<file path=customXml/itemProps3.xml><?xml version="1.0" encoding="utf-8"?>
<ds:datastoreItem xmlns:ds="http://schemas.openxmlformats.org/officeDocument/2006/customXml" ds:itemID="{6BA8D37D-F2C6-49FB-8F3D-4887803CF0F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60C7751-C439-43F9-B7A2-AE3CBC5120C9}">
  <ds:schemaRefs>
    <ds:schemaRef ds:uri="http://schemas.microsoft.com/sharepoint/events"/>
  </ds:schemaRefs>
</ds:datastoreItem>
</file>

<file path=customXml/itemProps5.xml><?xml version="1.0" encoding="utf-8"?>
<ds:datastoreItem xmlns:ds="http://schemas.openxmlformats.org/officeDocument/2006/customXml" ds:itemID="{9ED97748-98EC-4946-BC76-E7936EAC991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lastModifiedBy>Pablo Morete</cp:lastModifiedBy>
  <cp:revision>7</cp:revision>
  <cp:lastPrinted>2016-06-30T01:24:00Z</cp:lastPrinted>
  <dcterms:created xsi:type="dcterms:W3CDTF">2020-04-20T17:16:00Z</dcterms:created>
  <dcterms:modified xsi:type="dcterms:W3CDTF">2024-08-27T09:12:00Z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7800eae6-8038-40b9-8533-221e6f4bcd82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1536</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