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BBC4" w14:textId="76F3D986" w:rsidR="005B66BC" w:rsidRDefault="005B66BC" w:rsidP="004D6918">
      <w:pPr>
        <w:pStyle w:val="Heading1"/>
        <w:jc w:val="right"/>
        <w:rPr>
          <w:lang w:val="en-GB"/>
        </w:rPr>
      </w:pPr>
      <w:bookmarkStart w:id="0" w:name="_Hlk55828768"/>
    </w:p>
    <w:p w14:paraId="76ECE31F" w14:textId="0F3B5B47" w:rsidR="00C75E31" w:rsidRPr="0008241D" w:rsidRDefault="00C75E31" w:rsidP="00FA0B35">
      <w:pPr>
        <w:pStyle w:val="Heading1"/>
      </w:pPr>
      <w:bookmarkStart w:id="1" w:name="_Toc157420107"/>
      <w:r>
        <w:rPr>
          <w:lang w:bidi="fr-FR"/>
        </w:rPr>
        <w:t>Déclaration d</w:t>
      </w:r>
      <w:r w:rsidR="0008241D">
        <w:rPr>
          <w:lang w:bidi="fr-FR"/>
        </w:rPr>
        <w:t>’</w:t>
      </w:r>
      <w:r>
        <w:rPr>
          <w:lang w:bidi="fr-FR"/>
        </w:rPr>
        <w:t>appétit pour le risque du PNUD</w:t>
      </w:r>
      <w:bookmarkEnd w:id="1"/>
    </w:p>
    <w:p w14:paraId="034A5C08" w14:textId="56B94292" w:rsidR="00E96B1B" w:rsidRPr="0008241D" w:rsidRDefault="00E96B1B" w:rsidP="00FA0B35">
      <w:pPr>
        <w:pStyle w:val="Heading1"/>
      </w:pPr>
    </w:p>
    <w:p w14:paraId="3A0A1FEA" w14:textId="15314328" w:rsidR="00E96B1B" w:rsidRPr="00E96B1B" w:rsidRDefault="00C2197A" w:rsidP="00FA0B35">
      <w:pPr>
        <w:pStyle w:val="Heading1"/>
      </w:pPr>
      <w:r w:rsidRPr="0CE8B703">
        <w:rPr>
          <w:lang w:bidi="fr-FR"/>
        </w:rPr>
        <w:t xml:space="preserve"> </w:t>
      </w:r>
      <w:bookmarkStart w:id="2" w:name="_Toc157420108"/>
      <w:r w:rsidRPr="0CE8B703">
        <w:rPr>
          <w:lang w:bidi="fr-FR"/>
        </w:rPr>
        <w:t>Déclaration d</w:t>
      </w:r>
      <w:r w:rsidR="0008241D">
        <w:rPr>
          <w:lang w:bidi="fr-FR"/>
        </w:rPr>
        <w:t>’</w:t>
      </w:r>
      <w:r w:rsidRPr="0CE8B703">
        <w:rPr>
          <w:lang w:bidi="fr-FR"/>
        </w:rPr>
        <w:t>appétit pour le risque</w:t>
      </w:r>
      <w:bookmarkEnd w:id="2"/>
      <w:r w:rsidRPr="0CE8B703">
        <w:rPr>
          <w:lang w:bidi="fr-FR"/>
        </w:rPr>
        <w:t xml:space="preserve"> </w:t>
      </w:r>
    </w:p>
    <w:p w14:paraId="1C3BC691" w14:textId="74A6B047" w:rsidR="00E96B1B" w:rsidRPr="0008241D" w:rsidRDefault="00085235" w:rsidP="00FA0B35">
      <w:pPr>
        <w:pStyle w:val="Heading1"/>
      </w:pPr>
      <w:bookmarkStart w:id="3" w:name="_Toc157420109"/>
      <w:r>
        <w:rPr>
          <w:lang w:bidi="fr-FR"/>
        </w:rPr>
        <w:t>Octobre 2021</w:t>
      </w:r>
      <w:bookmarkEnd w:id="3"/>
    </w:p>
    <w:bookmarkEnd w:id="0"/>
    <w:p w14:paraId="7804816A" w14:textId="5FE5BFA2" w:rsidR="00E96B1B" w:rsidRPr="0008241D" w:rsidRDefault="00E96B1B" w:rsidP="00C30B49">
      <w:pPr>
        <w:rPr>
          <w:b/>
          <w:bCs/>
        </w:rPr>
      </w:pPr>
    </w:p>
    <w:p w14:paraId="52B1441D" w14:textId="77777777" w:rsidR="00C75E31" w:rsidRPr="0008241D" w:rsidRDefault="00C75E31" w:rsidP="00C30B49">
      <w:pPr>
        <w:rPr>
          <w:b/>
          <w:bCs/>
        </w:rPr>
      </w:pPr>
    </w:p>
    <w:p w14:paraId="28142A09" w14:textId="5717F7B9" w:rsidR="009374F2" w:rsidRPr="0008241D" w:rsidRDefault="009374F2">
      <w:pPr>
        <w:rPr>
          <w:b/>
          <w:bCs/>
        </w:rPr>
      </w:pPr>
      <w:r>
        <w:rPr>
          <w:b/>
          <w:lang w:bidi="fr-FR"/>
        </w:rPr>
        <w:br w:type="page"/>
      </w:r>
    </w:p>
    <w:sdt>
      <w:sdtPr>
        <w:id w:val="-1920782770"/>
        <w:docPartObj>
          <w:docPartGallery w:val="Table of Contents"/>
          <w:docPartUnique/>
        </w:docPartObj>
      </w:sdtPr>
      <w:sdtEndPr>
        <w:rPr>
          <w:b/>
          <w:bCs/>
          <w:noProof/>
        </w:rPr>
      </w:sdtEndPr>
      <w:sdtContent>
        <w:p w14:paraId="7FE254CD" w14:textId="77777777" w:rsidR="003E4CF6" w:rsidRDefault="00073D44" w:rsidP="00651AD3">
          <w:pPr>
            <w:pStyle w:val="TOC1"/>
            <w:tabs>
              <w:tab w:val="right" w:leader="dot" w:pos="9350"/>
            </w:tabs>
            <w:rPr>
              <w:noProof/>
            </w:rPr>
          </w:pPr>
          <w:r w:rsidRPr="00C37545">
            <w:rPr>
              <w:rStyle w:val="Heading1Char"/>
              <w:lang w:bidi="fr-FR"/>
            </w:rPr>
            <w:t>Table des matières</w:t>
          </w:r>
          <w:r>
            <w:rPr>
              <w:color w:val="2F5496" w:themeColor="accent1" w:themeShade="BF"/>
              <w:sz w:val="32"/>
              <w:lang w:bidi="fr-FR"/>
            </w:rPr>
            <w:fldChar w:fldCharType="begin"/>
          </w:r>
          <w:r>
            <w:rPr>
              <w:lang w:bidi="fr-FR"/>
            </w:rPr>
            <w:instrText xml:space="preserve"> TOC \o "1-3" \h \z \u </w:instrText>
          </w:r>
          <w:r>
            <w:rPr>
              <w:color w:val="2F5496" w:themeColor="accent1" w:themeShade="BF"/>
              <w:sz w:val="32"/>
              <w:lang w:bidi="fr-FR"/>
            </w:rPr>
            <w:fldChar w:fldCharType="separate"/>
          </w:r>
        </w:p>
        <w:p w14:paraId="19D752BC" w14:textId="39E4081D" w:rsidR="003E4CF6" w:rsidRDefault="00000000">
          <w:pPr>
            <w:pStyle w:val="TOC1"/>
            <w:tabs>
              <w:tab w:val="left" w:pos="440"/>
              <w:tab w:val="right" w:leader="dot" w:pos="9350"/>
            </w:tabs>
            <w:rPr>
              <w:rFonts w:eastAsiaTheme="minorEastAsia"/>
              <w:noProof/>
              <w:kern w:val="2"/>
              <w:lang w:val="en-GB" w:eastAsia="en-GB"/>
              <w14:ligatures w14:val="standardContextual"/>
            </w:rPr>
          </w:pPr>
          <w:hyperlink w:anchor="_Toc157420110" w:history="1">
            <w:r w:rsidR="003E4CF6" w:rsidRPr="00D80943">
              <w:rPr>
                <w:rStyle w:val="Hyperlink"/>
                <w:noProof/>
                <w:lang w:val="en-GB"/>
              </w:rPr>
              <w:t>1)</w:t>
            </w:r>
            <w:r w:rsidR="003E4CF6">
              <w:rPr>
                <w:rFonts w:eastAsiaTheme="minorEastAsia"/>
                <w:noProof/>
                <w:kern w:val="2"/>
                <w:lang w:val="en-GB" w:eastAsia="en-GB"/>
                <w14:ligatures w14:val="standardContextual"/>
              </w:rPr>
              <w:tab/>
            </w:r>
            <w:r w:rsidR="003E4CF6" w:rsidRPr="00D80943">
              <w:rPr>
                <w:rStyle w:val="Hyperlink"/>
                <w:noProof/>
                <w:lang w:bidi="fr-FR"/>
              </w:rPr>
              <w:t>Introduction</w:t>
            </w:r>
            <w:r w:rsidR="003E4CF6">
              <w:rPr>
                <w:noProof/>
                <w:webHidden/>
              </w:rPr>
              <w:tab/>
            </w:r>
            <w:r w:rsidR="003E4CF6">
              <w:rPr>
                <w:noProof/>
                <w:webHidden/>
              </w:rPr>
              <w:fldChar w:fldCharType="begin"/>
            </w:r>
            <w:r w:rsidR="003E4CF6">
              <w:rPr>
                <w:noProof/>
                <w:webHidden/>
              </w:rPr>
              <w:instrText xml:space="preserve"> PAGEREF _Toc157420110 \h </w:instrText>
            </w:r>
            <w:r w:rsidR="003E4CF6">
              <w:rPr>
                <w:noProof/>
                <w:webHidden/>
              </w:rPr>
            </w:r>
            <w:r w:rsidR="003E4CF6">
              <w:rPr>
                <w:noProof/>
                <w:webHidden/>
              </w:rPr>
              <w:fldChar w:fldCharType="separate"/>
            </w:r>
            <w:r w:rsidR="003E4CF6">
              <w:rPr>
                <w:noProof/>
                <w:webHidden/>
              </w:rPr>
              <w:t>3</w:t>
            </w:r>
            <w:r w:rsidR="003E4CF6">
              <w:rPr>
                <w:noProof/>
                <w:webHidden/>
              </w:rPr>
              <w:fldChar w:fldCharType="end"/>
            </w:r>
          </w:hyperlink>
        </w:p>
        <w:p w14:paraId="748DB2B0" w14:textId="3BB7BF75" w:rsidR="003E4CF6" w:rsidRDefault="00000000">
          <w:pPr>
            <w:pStyle w:val="TOC1"/>
            <w:tabs>
              <w:tab w:val="left" w:pos="440"/>
              <w:tab w:val="right" w:leader="dot" w:pos="9350"/>
            </w:tabs>
            <w:rPr>
              <w:rFonts w:eastAsiaTheme="minorEastAsia"/>
              <w:noProof/>
              <w:kern w:val="2"/>
              <w:lang w:val="en-GB" w:eastAsia="en-GB"/>
              <w14:ligatures w14:val="standardContextual"/>
            </w:rPr>
          </w:pPr>
          <w:hyperlink w:anchor="_Toc157420111" w:history="1">
            <w:r w:rsidR="003E4CF6" w:rsidRPr="00D80943">
              <w:rPr>
                <w:rStyle w:val="Hyperlink"/>
                <w:noProof/>
              </w:rPr>
              <w:t>2)</w:t>
            </w:r>
            <w:r w:rsidR="003E4CF6">
              <w:rPr>
                <w:rFonts w:eastAsiaTheme="minorEastAsia"/>
                <w:noProof/>
                <w:kern w:val="2"/>
                <w:lang w:val="en-GB" w:eastAsia="en-GB"/>
                <w14:ligatures w14:val="standardContextual"/>
              </w:rPr>
              <w:tab/>
            </w:r>
            <w:r w:rsidR="003E4CF6" w:rsidRPr="00D80943">
              <w:rPr>
                <w:rStyle w:val="Hyperlink"/>
                <w:noProof/>
                <w:lang w:bidi="fr-FR"/>
              </w:rPr>
              <w:t>Résumé de la déclaration d’appétit pour le risque</w:t>
            </w:r>
            <w:r w:rsidR="003E4CF6">
              <w:rPr>
                <w:noProof/>
                <w:webHidden/>
              </w:rPr>
              <w:tab/>
            </w:r>
            <w:r w:rsidR="003E4CF6">
              <w:rPr>
                <w:noProof/>
                <w:webHidden/>
              </w:rPr>
              <w:fldChar w:fldCharType="begin"/>
            </w:r>
            <w:r w:rsidR="003E4CF6">
              <w:rPr>
                <w:noProof/>
                <w:webHidden/>
              </w:rPr>
              <w:instrText xml:space="preserve"> PAGEREF _Toc157420111 \h </w:instrText>
            </w:r>
            <w:r w:rsidR="003E4CF6">
              <w:rPr>
                <w:noProof/>
                <w:webHidden/>
              </w:rPr>
            </w:r>
            <w:r w:rsidR="003E4CF6">
              <w:rPr>
                <w:noProof/>
                <w:webHidden/>
              </w:rPr>
              <w:fldChar w:fldCharType="separate"/>
            </w:r>
            <w:r w:rsidR="003E4CF6">
              <w:rPr>
                <w:noProof/>
                <w:webHidden/>
              </w:rPr>
              <w:t>4</w:t>
            </w:r>
            <w:r w:rsidR="003E4CF6">
              <w:rPr>
                <w:noProof/>
                <w:webHidden/>
              </w:rPr>
              <w:fldChar w:fldCharType="end"/>
            </w:r>
          </w:hyperlink>
        </w:p>
        <w:p w14:paraId="7B0CF335" w14:textId="45AF7375" w:rsidR="003E4CF6" w:rsidRDefault="00000000">
          <w:pPr>
            <w:pStyle w:val="TOC1"/>
            <w:tabs>
              <w:tab w:val="left" w:pos="440"/>
              <w:tab w:val="right" w:leader="dot" w:pos="9350"/>
            </w:tabs>
            <w:rPr>
              <w:rFonts w:eastAsiaTheme="minorEastAsia"/>
              <w:noProof/>
              <w:kern w:val="2"/>
              <w:lang w:val="en-GB" w:eastAsia="en-GB"/>
              <w14:ligatures w14:val="standardContextual"/>
            </w:rPr>
          </w:pPr>
          <w:hyperlink w:anchor="_Toc157420112" w:history="1">
            <w:r w:rsidR="003E4CF6" w:rsidRPr="00D80943">
              <w:rPr>
                <w:rStyle w:val="Hyperlink"/>
                <w:noProof/>
              </w:rPr>
              <w:t>3)</w:t>
            </w:r>
            <w:r w:rsidR="003E4CF6">
              <w:rPr>
                <w:rFonts w:eastAsiaTheme="minorEastAsia"/>
                <w:noProof/>
                <w:kern w:val="2"/>
                <w:lang w:val="en-GB" w:eastAsia="en-GB"/>
                <w14:ligatures w14:val="standardContextual"/>
              </w:rPr>
              <w:tab/>
            </w:r>
            <w:r w:rsidR="003E4CF6" w:rsidRPr="00D80943">
              <w:rPr>
                <w:rStyle w:val="Hyperlink"/>
                <w:noProof/>
                <w:lang w:bidi="fr-FR"/>
              </w:rPr>
              <w:t>Gérer les risques en se basant sur l’appétit pour le risque</w:t>
            </w:r>
            <w:r w:rsidR="003E4CF6">
              <w:rPr>
                <w:noProof/>
                <w:webHidden/>
              </w:rPr>
              <w:tab/>
            </w:r>
            <w:r w:rsidR="003E4CF6">
              <w:rPr>
                <w:noProof/>
                <w:webHidden/>
              </w:rPr>
              <w:fldChar w:fldCharType="begin"/>
            </w:r>
            <w:r w:rsidR="003E4CF6">
              <w:rPr>
                <w:noProof/>
                <w:webHidden/>
              </w:rPr>
              <w:instrText xml:space="preserve"> PAGEREF _Toc157420112 \h </w:instrText>
            </w:r>
            <w:r w:rsidR="003E4CF6">
              <w:rPr>
                <w:noProof/>
                <w:webHidden/>
              </w:rPr>
            </w:r>
            <w:r w:rsidR="003E4CF6">
              <w:rPr>
                <w:noProof/>
                <w:webHidden/>
              </w:rPr>
              <w:fldChar w:fldCharType="separate"/>
            </w:r>
            <w:r w:rsidR="003E4CF6">
              <w:rPr>
                <w:noProof/>
                <w:webHidden/>
              </w:rPr>
              <w:t>8</w:t>
            </w:r>
            <w:r w:rsidR="003E4CF6">
              <w:rPr>
                <w:noProof/>
                <w:webHidden/>
              </w:rPr>
              <w:fldChar w:fldCharType="end"/>
            </w:r>
          </w:hyperlink>
        </w:p>
        <w:p w14:paraId="3ADB4066" w14:textId="6E68047B" w:rsidR="003E4CF6" w:rsidRDefault="00000000">
          <w:pPr>
            <w:pStyle w:val="TOC1"/>
            <w:tabs>
              <w:tab w:val="left" w:pos="440"/>
              <w:tab w:val="right" w:leader="dot" w:pos="9350"/>
            </w:tabs>
            <w:rPr>
              <w:rFonts w:eastAsiaTheme="minorEastAsia"/>
              <w:noProof/>
              <w:kern w:val="2"/>
              <w:lang w:val="en-GB" w:eastAsia="en-GB"/>
              <w14:ligatures w14:val="standardContextual"/>
            </w:rPr>
          </w:pPr>
          <w:hyperlink w:anchor="_Toc157420113" w:history="1">
            <w:r w:rsidR="003E4CF6" w:rsidRPr="00D80943">
              <w:rPr>
                <w:rStyle w:val="Hyperlink"/>
                <w:noProof/>
              </w:rPr>
              <w:t>4)</w:t>
            </w:r>
            <w:r w:rsidR="003E4CF6">
              <w:rPr>
                <w:rFonts w:eastAsiaTheme="minorEastAsia"/>
                <w:noProof/>
                <w:kern w:val="2"/>
                <w:lang w:val="en-GB" w:eastAsia="en-GB"/>
                <w14:ligatures w14:val="standardContextual"/>
              </w:rPr>
              <w:tab/>
            </w:r>
            <w:r w:rsidR="003E4CF6" w:rsidRPr="00D80943">
              <w:rPr>
                <w:rStyle w:val="Hyperlink"/>
                <w:noProof/>
                <w:lang w:bidi="fr-FR"/>
              </w:rPr>
              <w:t>Mise en œuvre de l’approche d’appétit pour le risque et principes de gouvernance applicables</w:t>
            </w:r>
            <w:r w:rsidR="003E4CF6">
              <w:rPr>
                <w:noProof/>
                <w:webHidden/>
              </w:rPr>
              <w:tab/>
            </w:r>
            <w:r w:rsidR="003E4CF6">
              <w:rPr>
                <w:noProof/>
                <w:webHidden/>
              </w:rPr>
              <w:fldChar w:fldCharType="begin"/>
            </w:r>
            <w:r w:rsidR="003E4CF6">
              <w:rPr>
                <w:noProof/>
                <w:webHidden/>
              </w:rPr>
              <w:instrText xml:space="preserve"> PAGEREF _Toc157420113 \h </w:instrText>
            </w:r>
            <w:r w:rsidR="003E4CF6">
              <w:rPr>
                <w:noProof/>
                <w:webHidden/>
              </w:rPr>
            </w:r>
            <w:r w:rsidR="003E4CF6">
              <w:rPr>
                <w:noProof/>
                <w:webHidden/>
              </w:rPr>
              <w:fldChar w:fldCharType="separate"/>
            </w:r>
            <w:r w:rsidR="003E4CF6">
              <w:rPr>
                <w:noProof/>
                <w:webHidden/>
              </w:rPr>
              <w:t>9</w:t>
            </w:r>
            <w:r w:rsidR="003E4CF6">
              <w:rPr>
                <w:noProof/>
                <w:webHidden/>
              </w:rPr>
              <w:fldChar w:fldCharType="end"/>
            </w:r>
          </w:hyperlink>
        </w:p>
        <w:p w14:paraId="59EFBB97" w14:textId="325A00EA" w:rsidR="00073D44" w:rsidRDefault="00073D44">
          <w:r>
            <w:rPr>
              <w:b/>
              <w:noProof/>
              <w:lang w:bidi="fr-FR"/>
            </w:rPr>
            <w:fldChar w:fldCharType="end"/>
          </w:r>
        </w:p>
      </w:sdtContent>
    </w:sdt>
    <w:p w14:paraId="2886993F" w14:textId="77777777" w:rsidR="00073D44" w:rsidRDefault="00073D44">
      <w:pPr>
        <w:rPr>
          <w:rFonts w:asciiTheme="majorHAnsi" w:eastAsiaTheme="majorEastAsia" w:hAnsiTheme="majorHAnsi" w:cstheme="majorBidi"/>
          <w:color w:val="2F5496" w:themeColor="accent1" w:themeShade="BF"/>
          <w:sz w:val="32"/>
          <w:szCs w:val="32"/>
          <w:lang w:val="en-GB"/>
        </w:rPr>
      </w:pPr>
      <w:r>
        <w:rPr>
          <w:lang w:bidi="fr-FR"/>
        </w:rPr>
        <w:br w:type="page"/>
      </w:r>
    </w:p>
    <w:p w14:paraId="3F5724D1" w14:textId="577E6F74" w:rsidR="00C30B49" w:rsidRPr="00E546C4" w:rsidRDefault="00C30B49" w:rsidP="00100469">
      <w:pPr>
        <w:pStyle w:val="Heading1"/>
        <w:numPr>
          <w:ilvl w:val="0"/>
          <w:numId w:val="11"/>
        </w:numPr>
        <w:ind w:left="357" w:hanging="357"/>
        <w:rPr>
          <w:lang w:val="en-GB"/>
        </w:rPr>
      </w:pPr>
      <w:bookmarkStart w:id="4" w:name="_Toc157420110"/>
      <w:r w:rsidRPr="00E546C4">
        <w:rPr>
          <w:lang w:bidi="fr-FR"/>
        </w:rPr>
        <w:lastRenderedPageBreak/>
        <w:t>Introduction</w:t>
      </w:r>
      <w:bookmarkEnd w:id="4"/>
    </w:p>
    <w:p w14:paraId="4CCEC619" w14:textId="2F4484D1" w:rsidR="003F0AD3" w:rsidRPr="0008241D" w:rsidRDefault="00C30B49" w:rsidP="00C30B49">
      <w:r w:rsidRPr="00C30B49">
        <w:rPr>
          <w:lang w:bidi="fr-FR"/>
        </w:rPr>
        <w:t>Faire face à la complexité qui résulte de nombreuses incertitudes est au cœur des efforts du PNUD pour répondre par des solutions innovantes aux enjeux du développement et aux défis institutionnels. Le système de gestion du risque institutionnel (GRI) du PNUD vise à permettre à l</w:t>
      </w:r>
      <w:r w:rsidR="0008241D">
        <w:rPr>
          <w:lang w:bidi="fr-FR"/>
        </w:rPr>
        <w:t>’</w:t>
      </w:r>
      <w:r w:rsidRPr="00C30B49">
        <w:rPr>
          <w:lang w:bidi="fr-FR"/>
        </w:rPr>
        <w:t>organisation de se concentrer sur l</w:t>
      </w:r>
      <w:r w:rsidR="0008241D">
        <w:rPr>
          <w:lang w:bidi="fr-FR"/>
        </w:rPr>
        <w:t>’</w:t>
      </w:r>
      <w:r w:rsidRPr="00C30B49">
        <w:rPr>
          <w:lang w:bidi="fr-FR"/>
        </w:rPr>
        <w:t>avenir et de gérer l</w:t>
      </w:r>
      <w:r w:rsidR="0008241D">
        <w:rPr>
          <w:lang w:bidi="fr-FR"/>
        </w:rPr>
        <w:t>’</w:t>
      </w:r>
      <w:r w:rsidRPr="00C30B49">
        <w:rPr>
          <w:lang w:bidi="fr-FR"/>
        </w:rPr>
        <w:t>effet des incertitudes sur ses objectifs. Le but ultime de la GRI est de</w:t>
      </w:r>
      <w:r w:rsidRPr="00C30B49">
        <w:rPr>
          <w:b/>
          <w:lang w:bidi="fr-FR"/>
        </w:rPr>
        <w:t xml:space="preserve"> favoriser la prévoyance et d</w:t>
      </w:r>
      <w:r w:rsidR="0008241D">
        <w:rPr>
          <w:b/>
          <w:lang w:bidi="fr-FR"/>
        </w:rPr>
        <w:t>’</w:t>
      </w:r>
      <w:r w:rsidRPr="00C30B49">
        <w:rPr>
          <w:b/>
          <w:lang w:bidi="fr-FR"/>
        </w:rPr>
        <w:t>établir des processus décisionnels responsables et tenant compte des risques</w:t>
      </w:r>
      <w:r w:rsidRPr="00C30B49">
        <w:rPr>
          <w:lang w:bidi="fr-FR"/>
        </w:rPr>
        <w:t xml:space="preserve"> à tous les niveaux de l</w:t>
      </w:r>
      <w:r w:rsidR="0008241D">
        <w:rPr>
          <w:lang w:bidi="fr-FR"/>
        </w:rPr>
        <w:t>’</w:t>
      </w:r>
      <w:r w:rsidRPr="00C30B49">
        <w:rPr>
          <w:lang w:bidi="fr-FR"/>
        </w:rPr>
        <w:t>organisation, et ainsi de maximiser les résultats et les impacts grâce à une gestion optimale des ressources des donateurs.</w:t>
      </w:r>
    </w:p>
    <w:p w14:paraId="445FBC98" w14:textId="5DCC27B5" w:rsidR="009A37A1" w:rsidRPr="0008241D" w:rsidRDefault="009A37A1" w:rsidP="009A37A1">
      <w:pPr>
        <w:rPr>
          <w:rFonts w:cstheme="minorHAnsi"/>
        </w:rPr>
      </w:pPr>
      <w:r>
        <w:rPr>
          <w:lang w:bidi="fr-FR"/>
        </w:rPr>
        <w:t>La déclaration d</w:t>
      </w:r>
      <w:r w:rsidR="0008241D">
        <w:rPr>
          <w:lang w:bidi="fr-FR"/>
        </w:rPr>
        <w:t>’</w:t>
      </w:r>
      <w:r>
        <w:rPr>
          <w:b/>
          <w:lang w:bidi="fr-FR"/>
        </w:rPr>
        <w:t>appétit pour le risque du PNUD</w:t>
      </w:r>
      <w:r>
        <w:rPr>
          <w:lang w:bidi="fr-FR"/>
        </w:rPr>
        <w:t xml:space="preserve"> décrit les préférences propres à l</w:t>
      </w:r>
      <w:r w:rsidR="0008241D">
        <w:rPr>
          <w:lang w:bidi="fr-FR"/>
        </w:rPr>
        <w:t>’</w:t>
      </w:r>
      <w:r>
        <w:rPr>
          <w:lang w:bidi="fr-FR"/>
        </w:rPr>
        <w:t>organisation concernant le niveau de risque à prendre dans une situation donnée. Tandis qu</w:t>
      </w:r>
      <w:r w:rsidR="0008241D">
        <w:rPr>
          <w:lang w:bidi="fr-FR"/>
        </w:rPr>
        <w:t>’</w:t>
      </w:r>
      <w:r>
        <w:rPr>
          <w:lang w:bidi="fr-FR"/>
        </w:rPr>
        <w:t>elle traduit la culture du risque du PNUD, elle reflète également l</w:t>
      </w:r>
      <w:r w:rsidR="0008241D">
        <w:rPr>
          <w:lang w:bidi="fr-FR"/>
        </w:rPr>
        <w:t>’</w:t>
      </w:r>
      <w:r>
        <w:rPr>
          <w:lang w:bidi="fr-FR"/>
        </w:rPr>
        <w:t>attitude des principaux partenaires et parties prenantes externes à l</w:t>
      </w:r>
      <w:r w:rsidR="0008241D">
        <w:rPr>
          <w:lang w:bidi="fr-FR"/>
        </w:rPr>
        <w:t>’</w:t>
      </w:r>
      <w:r>
        <w:rPr>
          <w:lang w:bidi="fr-FR"/>
        </w:rPr>
        <w:t>égard des risques.</w:t>
      </w:r>
    </w:p>
    <w:p w14:paraId="378F71F0" w14:textId="1E2DE884" w:rsidR="00854998" w:rsidRPr="0008241D" w:rsidRDefault="003F0AD3" w:rsidP="009A37A1">
      <w:pPr>
        <w:rPr>
          <w:rFonts w:cstheme="minorHAnsi"/>
        </w:rPr>
      </w:pPr>
      <w:r w:rsidRPr="00C7169C">
        <w:rPr>
          <w:lang w:bidi="fr-FR"/>
        </w:rPr>
        <w:t>Cette déclaration d</w:t>
      </w:r>
      <w:r w:rsidR="0008241D">
        <w:rPr>
          <w:lang w:bidi="fr-FR"/>
        </w:rPr>
        <w:t>’</w:t>
      </w:r>
      <w:r w:rsidRPr="00C7169C">
        <w:rPr>
          <w:lang w:bidi="fr-FR"/>
        </w:rPr>
        <w:t>appétit pour le risque vise à créer au sein du PNUD une culture de l</w:t>
      </w:r>
      <w:r w:rsidR="0008241D">
        <w:rPr>
          <w:lang w:bidi="fr-FR"/>
        </w:rPr>
        <w:t>’</w:t>
      </w:r>
      <w:r w:rsidRPr="00C7169C">
        <w:rPr>
          <w:lang w:bidi="fr-FR"/>
        </w:rPr>
        <w:t>acceptation du risque, à travers laquelle les opportunités sont exploitées en fonction des besoins et du contexte d</w:t>
      </w:r>
      <w:r w:rsidR="0008241D">
        <w:rPr>
          <w:lang w:bidi="fr-FR"/>
        </w:rPr>
        <w:t>’</w:t>
      </w:r>
      <w:r w:rsidRPr="00C7169C">
        <w:rPr>
          <w:lang w:bidi="fr-FR"/>
        </w:rPr>
        <w:t>un projet ou d</w:t>
      </w:r>
      <w:r w:rsidR="0008241D">
        <w:rPr>
          <w:lang w:bidi="fr-FR"/>
        </w:rPr>
        <w:t>’</w:t>
      </w:r>
      <w:r w:rsidRPr="00C7169C">
        <w:rPr>
          <w:lang w:bidi="fr-FR"/>
        </w:rPr>
        <w:t>un programme, de nos partenaires de développement, ainsi que des ressources et des compétences disponibles, tout en veillant à ce que les décisions soient prises en tenant compte des risques. La déclaration d</w:t>
      </w:r>
      <w:r w:rsidR="0008241D">
        <w:rPr>
          <w:lang w:bidi="fr-FR"/>
        </w:rPr>
        <w:t>’</w:t>
      </w:r>
      <w:r w:rsidRPr="00C7169C">
        <w:rPr>
          <w:lang w:bidi="fr-FR"/>
        </w:rPr>
        <w:t>appétit pour le risque ouvre le débat sur les risques et, en particulier, sur leur niveau d</w:t>
      </w:r>
      <w:r w:rsidR="0008241D">
        <w:rPr>
          <w:lang w:bidi="fr-FR"/>
        </w:rPr>
        <w:t>’</w:t>
      </w:r>
      <w:r w:rsidRPr="00C7169C">
        <w:rPr>
          <w:lang w:bidi="fr-FR"/>
        </w:rPr>
        <w:t>acceptabilité à l</w:t>
      </w:r>
      <w:r w:rsidR="0008241D">
        <w:rPr>
          <w:lang w:bidi="fr-FR"/>
        </w:rPr>
        <w:t>’</w:t>
      </w:r>
      <w:r w:rsidRPr="00C7169C">
        <w:rPr>
          <w:lang w:bidi="fr-FR"/>
        </w:rPr>
        <w:t>échelle de l</w:t>
      </w:r>
      <w:r w:rsidR="0008241D">
        <w:rPr>
          <w:lang w:bidi="fr-FR"/>
        </w:rPr>
        <w:t>’</w:t>
      </w:r>
      <w:r w:rsidRPr="00C7169C">
        <w:rPr>
          <w:lang w:bidi="fr-FR"/>
        </w:rPr>
        <w:t>ensemble de l</w:t>
      </w:r>
      <w:r w:rsidR="0008241D">
        <w:rPr>
          <w:lang w:bidi="fr-FR"/>
        </w:rPr>
        <w:t>’</w:t>
      </w:r>
      <w:r w:rsidRPr="00C7169C">
        <w:rPr>
          <w:lang w:bidi="fr-FR"/>
        </w:rPr>
        <w:t>organisation, en reconnaissant que chaque unité opérationnelle se distingue par un appétit pour le risque, une tolérance à l</w:t>
      </w:r>
      <w:r w:rsidR="0008241D">
        <w:rPr>
          <w:lang w:bidi="fr-FR"/>
        </w:rPr>
        <w:t>’</w:t>
      </w:r>
      <w:r w:rsidRPr="00C7169C">
        <w:rPr>
          <w:lang w:bidi="fr-FR"/>
        </w:rPr>
        <w:t>égard du risque et une exposition au risque qui lui sont propres. Elle fournit des orientations sur le niveau et le type de risques que le PNUD est disposé à accepter ou à prendre dans son approche du développement afin de mettre en œuvre son Plan stratégique. Le PNUD prend des risques afin de réaliser ses projets et ses programmes, de renforcer ses partenariats avec les gouvernements hôtes, de promouvoir les droits humains ou de créer des espaces sûrs pour les populations. Le PNUD prend également des risques afin de promouvoir l</w:t>
      </w:r>
      <w:r w:rsidR="0008241D">
        <w:rPr>
          <w:lang w:bidi="fr-FR"/>
        </w:rPr>
        <w:t>’</w:t>
      </w:r>
      <w:r w:rsidRPr="00C7169C">
        <w:rPr>
          <w:lang w:bidi="fr-FR"/>
        </w:rPr>
        <w:t>innovation, laquelle favorise à son tour la gestion des risques grâce au développement de solutions créatives et à l</w:t>
      </w:r>
      <w:r w:rsidR="0008241D">
        <w:rPr>
          <w:lang w:bidi="fr-FR"/>
        </w:rPr>
        <w:t>’</w:t>
      </w:r>
      <w:r w:rsidRPr="00C7169C">
        <w:rPr>
          <w:lang w:bidi="fr-FR"/>
        </w:rPr>
        <w:t>adoption d</w:t>
      </w:r>
      <w:r w:rsidR="0008241D">
        <w:rPr>
          <w:lang w:bidi="fr-FR"/>
        </w:rPr>
        <w:t>’</w:t>
      </w:r>
      <w:r w:rsidRPr="00C7169C">
        <w:rPr>
          <w:lang w:bidi="fr-FR"/>
        </w:rPr>
        <w:t>approches non conventionnelles qui permettent au PNUD d</w:t>
      </w:r>
      <w:r w:rsidR="0008241D">
        <w:rPr>
          <w:lang w:bidi="fr-FR"/>
        </w:rPr>
        <w:t>’</w:t>
      </w:r>
      <w:r w:rsidRPr="00C7169C">
        <w:rPr>
          <w:lang w:bidi="fr-FR"/>
        </w:rPr>
        <w:t>accéder à de nouveaux partenariats et à de nouvelles opportunités pour continuer à remplir ses objectifs ambitieux de développement pour les pays de ses programmes. Cette déclaration permet la prise de décisions cohérentes et effectivement fondées sur les risques, grâce à la définition, au partage et à la transmission d</w:t>
      </w:r>
      <w:r w:rsidR="0008241D">
        <w:rPr>
          <w:lang w:bidi="fr-FR"/>
        </w:rPr>
        <w:t>’</w:t>
      </w:r>
      <w:r w:rsidRPr="00C7169C">
        <w:rPr>
          <w:lang w:bidi="fr-FR"/>
        </w:rPr>
        <w:t>un appétit commun pour le risque à tous les niveaux de l</w:t>
      </w:r>
      <w:r w:rsidR="0008241D">
        <w:rPr>
          <w:lang w:bidi="fr-FR"/>
        </w:rPr>
        <w:t>’</w:t>
      </w:r>
      <w:r w:rsidRPr="00C7169C">
        <w:rPr>
          <w:lang w:bidi="fr-FR"/>
        </w:rPr>
        <w:t>organisation. Elle permet d</w:t>
      </w:r>
      <w:r w:rsidR="0008241D">
        <w:rPr>
          <w:lang w:bidi="fr-FR"/>
        </w:rPr>
        <w:t>’</w:t>
      </w:r>
      <w:r w:rsidRPr="00C7169C">
        <w:rPr>
          <w:lang w:bidi="fr-FR"/>
        </w:rPr>
        <w:t>expliquer aux parties prenantes, de manière claire et cohérente, l</w:t>
      </w:r>
      <w:r w:rsidR="0008241D">
        <w:rPr>
          <w:lang w:bidi="fr-FR"/>
        </w:rPr>
        <w:t>’</w:t>
      </w:r>
      <w:r w:rsidRPr="00C7169C">
        <w:rPr>
          <w:lang w:bidi="fr-FR"/>
        </w:rPr>
        <w:t>appétit du PNUD pour le risque, ce qui facilite les discussions sur la prise de risque partagée, discussions qui elles-mêmes déterminent les décisions conjointes relatives aux mesures à prendre. Elle encourage une gestion pragmatique et flexible des risques, en permettant des discussions structurées et cohérentes sur les risques qu</w:t>
      </w:r>
      <w:r w:rsidR="0008241D">
        <w:rPr>
          <w:lang w:bidi="fr-FR"/>
        </w:rPr>
        <w:t>’</w:t>
      </w:r>
      <w:r w:rsidRPr="00C7169C">
        <w:rPr>
          <w:lang w:bidi="fr-FR"/>
        </w:rPr>
        <w:t>il convient d</w:t>
      </w:r>
      <w:r w:rsidR="0008241D">
        <w:rPr>
          <w:lang w:bidi="fr-FR"/>
        </w:rPr>
        <w:t>’</w:t>
      </w:r>
      <w:r w:rsidRPr="00C7169C">
        <w:rPr>
          <w:lang w:bidi="fr-FR"/>
        </w:rPr>
        <w:t>accepter, d</w:t>
      </w:r>
      <w:r w:rsidR="0008241D">
        <w:rPr>
          <w:lang w:bidi="fr-FR"/>
        </w:rPr>
        <w:t>’</w:t>
      </w:r>
      <w:r w:rsidRPr="00C7169C">
        <w:rPr>
          <w:lang w:bidi="fr-FR"/>
        </w:rPr>
        <w:t>atténuer ou d</w:t>
      </w:r>
      <w:r w:rsidR="0008241D">
        <w:rPr>
          <w:lang w:bidi="fr-FR"/>
        </w:rPr>
        <w:t>’</w:t>
      </w:r>
      <w:r w:rsidRPr="00C7169C">
        <w:rPr>
          <w:lang w:bidi="fr-FR"/>
        </w:rPr>
        <w:t>éviter dans le cadre des priorités du PNUD. Cette déclaration s</w:t>
      </w:r>
      <w:r w:rsidR="0008241D">
        <w:rPr>
          <w:lang w:bidi="fr-FR"/>
        </w:rPr>
        <w:t>’</w:t>
      </w:r>
      <w:r w:rsidRPr="00C7169C">
        <w:rPr>
          <w:lang w:bidi="fr-FR"/>
        </w:rPr>
        <w:t>appuie sur des orientations détaillées qui clarifient les modalités pratiques de son application.</w:t>
      </w:r>
    </w:p>
    <w:p w14:paraId="7A9538D3" w14:textId="46080C5D" w:rsidR="00C30B49" w:rsidRPr="00C30B49" w:rsidRDefault="00C30B49" w:rsidP="009A37A1">
      <w:r w:rsidRPr="00C30B49">
        <w:rPr>
          <w:lang w:bidi="fr-FR"/>
        </w:rPr>
        <w:t>La déclaration d</w:t>
      </w:r>
      <w:r w:rsidR="0008241D">
        <w:rPr>
          <w:lang w:bidi="fr-FR"/>
        </w:rPr>
        <w:t>’</w:t>
      </w:r>
      <w:r w:rsidRPr="00C30B49">
        <w:rPr>
          <w:lang w:bidi="fr-FR"/>
        </w:rPr>
        <w:t>appétit pour le risque a été élaborée afin de faciliter l</w:t>
      </w:r>
      <w:r w:rsidR="0008241D">
        <w:rPr>
          <w:lang w:bidi="fr-FR"/>
        </w:rPr>
        <w:t>’</w:t>
      </w:r>
      <w:r w:rsidRPr="00C30B49">
        <w:rPr>
          <w:lang w:bidi="fr-FR"/>
        </w:rPr>
        <w:t>exécution du Plan stratégique du PNUD en remplissant les objectifs suivants :</w:t>
      </w:r>
    </w:p>
    <w:p w14:paraId="7ECF65A4" w14:textId="5F789C81" w:rsidR="00302E4C" w:rsidRPr="009E23BA" w:rsidRDefault="00302E4C" w:rsidP="009A37A1">
      <w:pPr>
        <w:pStyle w:val="ListParagraph"/>
        <w:numPr>
          <w:ilvl w:val="0"/>
          <w:numId w:val="23"/>
        </w:numPr>
      </w:pPr>
      <w:r w:rsidRPr="009A37A1">
        <w:rPr>
          <w:lang w:bidi="fr-FR"/>
        </w:rPr>
        <w:t>Favoriser la prise de décisions réfléchies, cohérentes et tenant compte des risques ;</w:t>
      </w:r>
    </w:p>
    <w:p w14:paraId="0DC5E422" w14:textId="16709281" w:rsidR="00C30B49" w:rsidRPr="00C30B49" w:rsidRDefault="00C30B49" w:rsidP="009A37A1">
      <w:pPr>
        <w:pStyle w:val="ListParagraph"/>
        <w:numPr>
          <w:ilvl w:val="0"/>
          <w:numId w:val="23"/>
        </w:numPr>
      </w:pPr>
      <w:r w:rsidRPr="009A37A1">
        <w:rPr>
          <w:lang w:bidi="fr-FR"/>
        </w:rPr>
        <w:lastRenderedPageBreak/>
        <w:t>Ouvrir et faciliter les discussions au sein de l</w:t>
      </w:r>
      <w:r w:rsidR="0008241D">
        <w:rPr>
          <w:lang w:bidi="fr-FR"/>
        </w:rPr>
        <w:t>’</w:t>
      </w:r>
      <w:r w:rsidRPr="009A37A1">
        <w:rPr>
          <w:lang w:bidi="fr-FR"/>
        </w:rPr>
        <w:t>organisation, avec d</w:t>
      </w:r>
      <w:r w:rsidR="0008241D">
        <w:rPr>
          <w:lang w:bidi="fr-FR"/>
        </w:rPr>
        <w:t>’</w:t>
      </w:r>
      <w:r w:rsidRPr="009A37A1">
        <w:rPr>
          <w:lang w:bidi="fr-FR"/>
        </w:rPr>
        <w:t>autres organismes des Nations Unies, ainsi qu</w:t>
      </w:r>
      <w:r w:rsidR="0008241D">
        <w:rPr>
          <w:lang w:bidi="fr-FR"/>
        </w:rPr>
        <w:t>’</w:t>
      </w:r>
      <w:r w:rsidRPr="009A37A1">
        <w:rPr>
          <w:lang w:bidi="fr-FR"/>
        </w:rPr>
        <w:t>avec les parties prenantes et les bénéficiaires, au sujet des types et des niveaux de risques que le PNUD est disposé ou non à prendre afin de conduire sa mission ;</w:t>
      </w:r>
    </w:p>
    <w:p w14:paraId="0DF9F4E0" w14:textId="4B794382" w:rsidR="00C30B49" w:rsidRPr="00C7169C" w:rsidRDefault="00C30B49" w:rsidP="009A37A1">
      <w:pPr>
        <w:pStyle w:val="ListParagraph"/>
        <w:numPr>
          <w:ilvl w:val="0"/>
          <w:numId w:val="23"/>
        </w:numPr>
      </w:pPr>
      <w:r w:rsidRPr="009A37A1">
        <w:rPr>
          <w:lang w:bidi="fr-FR"/>
        </w:rPr>
        <w:t>Faire le meilleur usage possible des fonds publics, en gérant les risques de manière proportionnée ;</w:t>
      </w:r>
    </w:p>
    <w:p w14:paraId="578C1FAA" w14:textId="5DD1B405" w:rsidR="000D2BA0" w:rsidRPr="0008241D" w:rsidRDefault="00C30B49" w:rsidP="623262FC">
      <w:pPr>
        <w:pStyle w:val="ListParagraph"/>
        <w:numPr>
          <w:ilvl w:val="0"/>
          <w:numId w:val="23"/>
        </w:numPr>
      </w:pPr>
      <w:r w:rsidRPr="623262FC">
        <w:rPr>
          <w:lang w:bidi="fr-FR"/>
        </w:rPr>
        <w:t>Faire preuve de flexibilité et permettre des écarts planifiés, discutés et convenus par rapport aux consignes contenues dans la déclaration, dès lors que de tels écarts contribuent à la réalisation des ambitions du PNUD et de son mandat, étant toutefois entendu que des mesures d</w:t>
      </w:r>
      <w:r w:rsidR="0008241D">
        <w:rPr>
          <w:lang w:bidi="fr-FR"/>
        </w:rPr>
        <w:t>’</w:t>
      </w:r>
      <w:r w:rsidRPr="623262FC">
        <w:rPr>
          <w:lang w:bidi="fr-FR"/>
        </w:rPr>
        <w:t>atténuation des risques adaptées et validées doivent toujours être mises en place ;</w:t>
      </w:r>
    </w:p>
    <w:p w14:paraId="052FE475" w14:textId="3493E309" w:rsidR="00C30B49" w:rsidRPr="0008241D" w:rsidRDefault="000D2BA0" w:rsidP="623262FC">
      <w:pPr>
        <w:pStyle w:val="ListParagraph"/>
        <w:numPr>
          <w:ilvl w:val="0"/>
          <w:numId w:val="23"/>
        </w:numPr>
      </w:pPr>
      <w:r w:rsidRPr="623262FC">
        <w:rPr>
          <w:lang w:bidi="fr-FR"/>
        </w:rPr>
        <w:t>Mieux comprendre et prévoir les risques résultant de la volonté du PNUD de promouvoir l</w:t>
      </w:r>
      <w:r w:rsidR="0008241D">
        <w:rPr>
          <w:lang w:bidi="fr-FR"/>
        </w:rPr>
        <w:t>’</w:t>
      </w:r>
      <w:r w:rsidRPr="623262FC">
        <w:rPr>
          <w:lang w:bidi="fr-FR"/>
        </w:rPr>
        <w:t>innovation et l</w:t>
      </w:r>
      <w:r w:rsidR="0008241D">
        <w:rPr>
          <w:lang w:bidi="fr-FR"/>
        </w:rPr>
        <w:t>’</w:t>
      </w:r>
      <w:r w:rsidRPr="623262FC">
        <w:rPr>
          <w:lang w:bidi="fr-FR"/>
        </w:rPr>
        <w:t>apprentissage, de trouver des solutions créatives et de s</w:t>
      </w:r>
      <w:r w:rsidR="0008241D">
        <w:rPr>
          <w:lang w:bidi="fr-FR"/>
        </w:rPr>
        <w:t>’</w:t>
      </w:r>
      <w:r w:rsidRPr="623262FC">
        <w:rPr>
          <w:lang w:bidi="fr-FR"/>
        </w:rPr>
        <w:t>ouvrir à de nouveaux partenariats plus solides, en particulier avec des acteurs non étatiques et le secteur privé, ainsi qu</w:t>
      </w:r>
      <w:r w:rsidR="0008241D">
        <w:rPr>
          <w:lang w:bidi="fr-FR"/>
        </w:rPr>
        <w:t>’</w:t>
      </w:r>
      <w:r w:rsidRPr="623262FC">
        <w:rPr>
          <w:lang w:bidi="fr-FR"/>
        </w:rPr>
        <w:t>à de nouvelles opportunités de programmes.</w:t>
      </w:r>
    </w:p>
    <w:p w14:paraId="7790F4E6" w14:textId="62D82D0C" w:rsidR="004F692F" w:rsidRPr="00893E60" w:rsidRDefault="001A1447" w:rsidP="009A37A1">
      <w:pPr>
        <w:rPr>
          <w:color w:val="0E101A"/>
        </w:rPr>
      </w:pPr>
      <w:r w:rsidRPr="00C7169C">
        <w:rPr>
          <w:lang w:bidi="fr-FR"/>
        </w:rPr>
        <w:t>La déclaration d</w:t>
      </w:r>
      <w:r w:rsidR="0008241D">
        <w:rPr>
          <w:lang w:bidi="fr-FR"/>
        </w:rPr>
        <w:t>’</w:t>
      </w:r>
      <w:r w:rsidRPr="00C7169C">
        <w:rPr>
          <w:lang w:bidi="fr-FR"/>
        </w:rPr>
        <w:t xml:space="preserve">appétit pour le risque a été élaborée </w:t>
      </w:r>
      <w:r w:rsidR="0008241D">
        <w:rPr>
          <w:lang w:bidi="fr-FR"/>
        </w:rPr>
        <w:t xml:space="preserve">à travers </w:t>
      </w:r>
      <w:r w:rsidRPr="00C7169C">
        <w:rPr>
          <w:lang w:bidi="fr-FR"/>
        </w:rPr>
        <w:t>un processus consultatif et a vocation à évoluer au fil du temps. Elle sera révisée et mise à jour pour soutenir la réalisation du Plan stratégique du PNUD en tenant compte des risques associés que les capacités institutionnelles et les priorités de l</w:t>
      </w:r>
      <w:r w:rsidR="0008241D">
        <w:rPr>
          <w:lang w:bidi="fr-FR"/>
        </w:rPr>
        <w:t>’</w:t>
      </w:r>
      <w:r w:rsidRPr="00C7169C">
        <w:rPr>
          <w:lang w:bidi="fr-FR"/>
        </w:rPr>
        <w:t>organisation permettront de prendre et de gérer de façon effective. Les facteurs pouvant justifier une révision de la déclaration sont les suivants :</w:t>
      </w:r>
    </w:p>
    <w:p w14:paraId="6A216A28" w14:textId="447911D6" w:rsidR="00100469" w:rsidRPr="00100469" w:rsidRDefault="00100469" w:rsidP="00CA5A26">
      <w:pPr>
        <w:pStyle w:val="CommentText"/>
        <w:numPr>
          <w:ilvl w:val="0"/>
          <w:numId w:val="22"/>
        </w:numPr>
        <w:spacing w:after="0" w:line="259" w:lineRule="auto"/>
        <w:rPr>
          <w:sz w:val="22"/>
          <w:szCs w:val="22"/>
        </w:rPr>
      </w:pPr>
      <w:r w:rsidRPr="00100469">
        <w:rPr>
          <w:sz w:val="22"/>
          <w:lang w:bidi="fr-FR"/>
        </w:rPr>
        <w:t>D</w:t>
      </w:r>
      <w:r w:rsidR="0008241D">
        <w:rPr>
          <w:sz w:val="22"/>
          <w:lang w:bidi="fr-FR"/>
        </w:rPr>
        <w:t>’</w:t>
      </w:r>
      <w:r w:rsidRPr="00100469">
        <w:rPr>
          <w:sz w:val="22"/>
          <w:lang w:bidi="fr-FR"/>
        </w:rPr>
        <w:t>importantes évolutions du contexte/de l</w:t>
      </w:r>
      <w:r w:rsidR="0008241D">
        <w:rPr>
          <w:sz w:val="22"/>
          <w:lang w:bidi="fr-FR"/>
        </w:rPr>
        <w:t>’</w:t>
      </w:r>
      <w:r w:rsidRPr="00100469">
        <w:rPr>
          <w:sz w:val="22"/>
          <w:lang w:bidi="fr-FR"/>
        </w:rPr>
        <w:t>environnement interne du PNUD, par exemple un changement de priorités ou un changement d</w:t>
      </w:r>
      <w:r w:rsidR="0008241D">
        <w:rPr>
          <w:sz w:val="22"/>
          <w:lang w:bidi="fr-FR"/>
        </w:rPr>
        <w:t>’</w:t>
      </w:r>
      <w:r w:rsidRPr="00100469">
        <w:rPr>
          <w:sz w:val="22"/>
          <w:lang w:bidi="fr-FR"/>
        </w:rPr>
        <w:t>attitude vis-à-vis du risque ;</w:t>
      </w:r>
    </w:p>
    <w:p w14:paraId="1EF27772" w14:textId="06E5B993" w:rsidR="00100469" w:rsidRPr="00100469" w:rsidRDefault="00100469" w:rsidP="00CA5A26">
      <w:pPr>
        <w:pStyle w:val="CommentText"/>
        <w:numPr>
          <w:ilvl w:val="0"/>
          <w:numId w:val="22"/>
        </w:numPr>
        <w:spacing w:after="0" w:line="259" w:lineRule="auto"/>
        <w:rPr>
          <w:sz w:val="22"/>
          <w:szCs w:val="22"/>
        </w:rPr>
      </w:pPr>
      <w:r>
        <w:rPr>
          <w:sz w:val="22"/>
          <w:lang w:bidi="fr-FR"/>
        </w:rPr>
        <w:t>D</w:t>
      </w:r>
      <w:r w:rsidR="0008241D">
        <w:rPr>
          <w:sz w:val="22"/>
          <w:lang w:bidi="fr-FR"/>
        </w:rPr>
        <w:t>’</w:t>
      </w:r>
      <w:r>
        <w:rPr>
          <w:sz w:val="22"/>
          <w:lang w:bidi="fr-FR"/>
        </w:rPr>
        <w:t>importantes évolutions du contexte/de l</w:t>
      </w:r>
      <w:r w:rsidR="0008241D">
        <w:rPr>
          <w:sz w:val="22"/>
          <w:lang w:bidi="fr-FR"/>
        </w:rPr>
        <w:t>’</w:t>
      </w:r>
      <w:r>
        <w:rPr>
          <w:sz w:val="22"/>
          <w:lang w:bidi="fr-FR"/>
        </w:rPr>
        <w:t>environnement externe du PNUD, par exemple une modification significative de la liste des bailleurs de fonds ou de leurs intérêts, ou encore une évolution politique pouvant affecter le rôle du PNUD ;</w:t>
      </w:r>
    </w:p>
    <w:p w14:paraId="56DD0E01" w14:textId="35458FAB" w:rsidR="00100469" w:rsidRPr="00100469" w:rsidRDefault="00100469" w:rsidP="00CA5A26">
      <w:pPr>
        <w:pStyle w:val="CommentText"/>
        <w:numPr>
          <w:ilvl w:val="0"/>
          <w:numId w:val="22"/>
        </w:numPr>
        <w:spacing w:after="0" w:line="259" w:lineRule="auto"/>
        <w:rPr>
          <w:sz w:val="22"/>
          <w:szCs w:val="22"/>
        </w:rPr>
      </w:pPr>
      <w:r>
        <w:rPr>
          <w:sz w:val="22"/>
          <w:lang w:bidi="fr-FR"/>
        </w:rPr>
        <w:t>Une évolution importante du modèle de fonctionnement du PNUD, par exemple une modification de ses procédures et processus opérationnels, des termes de sa redevabilité, de son rôle ou de ses responsabilités ;</w:t>
      </w:r>
    </w:p>
    <w:p w14:paraId="4DE1CA79" w14:textId="0C97D56A" w:rsidR="00100469" w:rsidRPr="00CA5A26" w:rsidRDefault="00100469" w:rsidP="00CA5A26">
      <w:pPr>
        <w:pStyle w:val="ListParagraph"/>
        <w:numPr>
          <w:ilvl w:val="0"/>
          <w:numId w:val="22"/>
        </w:numPr>
        <w:autoSpaceDE w:val="0"/>
        <w:autoSpaceDN w:val="0"/>
        <w:adjustRightInd w:val="0"/>
        <w:spacing w:after="0"/>
        <w:rPr>
          <w:rFonts w:eastAsia="Times New Roman" w:cs="Times New Roman"/>
          <w:color w:val="0E101A"/>
        </w:rPr>
      </w:pPr>
      <w:r>
        <w:rPr>
          <w:lang w:bidi="fr-FR"/>
        </w:rPr>
        <w:t>La définition d</w:t>
      </w:r>
      <w:r w:rsidR="0008241D">
        <w:rPr>
          <w:lang w:bidi="fr-FR"/>
        </w:rPr>
        <w:t>’</w:t>
      </w:r>
      <w:r>
        <w:rPr>
          <w:lang w:bidi="fr-FR"/>
        </w:rPr>
        <w:t>une nouvelle stratégie, y compris lors de l</w:t>
      </w:r>
      <w:r w:rsidR="0008241D">
        <w:rPr>
          <w:lang w:bidi="fr-FR"/>
        </w:rPr>
        <w:t>’</w:t>
      </w:r>
      <w:r>
        <w:rPr>
          <w:lang w:bidi="fr-FR"/>
        </w:rPr>
        <w:t>élaboration d</w:t>
      </w:r>
      <w:r w:rsidR="0008241D">
        <w:rPr>
          <w:lang w:bidi="fr-FR"/>
        </w:rPr>
        <w:t>’</w:t>
      </w:r>
      <w:r>
        <w:rPr>
          <w:lang w:bidi="fr-FR"/>
        </w:rPr>
        <w:t>un nouveau Plan stratégique.</w:t>
      </w:r>
    </w:p>
    <w:p w14:paraId="595465E6" w14:textId="77777777" w:rsidR="00100469" w:rsidRPr="00100469" w:rsidRDefault="00100469" w:rsidP="00100469">
      <w:pPr>
        <w:autoSpaceDE w:val="0"/>
        <w:autoSpaceDN w:val="0"/>
        <w:adjustRightInd w:val="0"/>
        <w:spacing w:after="0" w:line="240" w:lineRule="auto"/>
        <w:ind w:left="720"/>
        <w:rPr>
          <w:rFonts w:eastAsia="Times New Roman" w:cs="Times New Roman"/>
          <w:color w:val="0E101A"/>
        </w:rPr>
      </w:pPr>
    </w:p>
    <w:p w14:paraId="14774CAD" w14:textId="75404AF8" w:rsidR="0036724D" w:rsidRDefault="004F59D8" w:rsidP="0036724D">
      <w:pPr>
        <w:autoSpaceDE w:val="0"/>
        <w:autoSpaceDN w:val="0"/>
        <w:adjustRightInd w:val="0"/>
        <w:spacing w:after="0" w:line="240" w:lineRule="auto"/>
        <w:rPr>
          <w:rFonts w:eastAsia="Times New Roman" w:cs="Times New Roman"/>
          <w:color w:val="0E101A"/>
        </w:rPr>
      </w:pPr>
      <w:r>
        <w:rPr>
          <w:color w:val="0E101A"/>
          <w:lang w:bidi="fr-FR"/>
        </w:rPr>
        <w:t>À chaque révision de la déclaration d</w:t>
      </w:r>
      <w:r w:rsidR="0008241D">
        <w:rPr>
          <w:color w:val="0E101A"/>
          <w:lang w:bidi="fr-FR"/>
        </w:rPr>
        <w:t>’</w:t>
      </w:r>
      <w:r>
        <w:rPr>
          <w:color w:val="0E101A"/>
          <w:lang w:bidi="fr-FR"/>
        </w:rPr>
        <w:t>appétit pour le risque, qu</w:t>
      </w:r>
      <w:r w:rsidR="0008241D">
        <w:rPr>
          <w:color w:val="0E101A"/>
          <w:lang w:bidi="fr-FR"/>
        </w:rPr>
        <w:t>’</w:t>
      </w:r>
      <w:r>
        <w:rPr>
          <w:color w:val="0E101A"/>
          <w:lang w:bidi="fr-FR"/>
        </w:rPr>
        <w:t>il s</w:t>
      </w:r>
      <w:r w:rsidR="0008241D">
        <w:rPr>
          <w:color w:val="0E101A"/>
          <w:lang w:bidi="fr-FR"/>
        </w:rPr>
        <w:t>’</w:t>
      </w:r>
      <w:r>
        <w:rPr>
          <w:color w:val="0E101A"/>
          <w:lang w:bidi="fr-FR"/>
        </w:rPr>
        <w:t>agisse d</w:t>
      </w:r>
      <w:r w:rsidR="0008241D">
        <w:rPr>
          <w:color w:val="0E101A"/>
          <w:lang w:bidi="fr-FR"/>
        </w:rPr>
        <w:t>’</w:t>
      </w:r>
      <w:r>
        <w:rPr>
          <w:color w:val="0E101A"/>
          <w:lang w:bidi="fr-FR"/>
        </w:rPr>
        <w:t>une révision de routine ou d</w:t>
      </w:r>
      <w:r w:rsidR="0008241D">
        <w:rPr>
          <w:color w:val="0E101A"/>
          <w:lang w:bidi="fr-FR"/>
        </w:rPr>
        <w:t>’</w:t>
      </w:r>
      <w:r>
        <w:rPr>
          <w:color w:val="0E101A"/>
          <w:lang w:bidi="fr-FR"/>
        </w:rPr>
        <w:t>un aménagement répondant à une situation précise, les enseignements tirés devront être inscrits dans un registre dédié afin d</w:t>
      </w:r>
      <w:r w:rsidR="0008241D">
        <w:rPr>
          <w:color w:val="0E101A"/>
          <w:lang w:bidi="fr-FR"/>
        </w:rPr>
        <w:t>’</w:t>
      </w:r>
      <w:r>
        <w:rPr>
          <w:color w:val="0E101A"/>
          <w:lang w:bidi="fr-FR"/>
        </w:rPr>
        <w:t>éclairer l</w:t>
      </w:r>
      <w:r w:rsidR="0008241D">
        <w:rPr>
          <w:color w:val="0E101A"/>
          <w:lang w:bidi="fr-FR"/>
        </w:rPr>
        <w:t>’</w:t>
      </w:r>
      <w:r>
        <w:rPr>
          <w:color w:val="0E101A"/>
          <w:lang w:bidi="fr-FR"/>
        </w:rPr>
        <w:t>élaboration des politiques futures.</w:t>
      </w:r>
    </w:p>
    <w:p w14:paraId="54A6F011" w14:textId="66F3172F" w:rsidR="00893E60" w:rsidRPr="00E546C4" w:rsidRDefault="00893E60" w:rsidP="00100469">
      <w:pPr>
        <w:pStyle w:val="Heading1"/>
        <w:numPr>
          <w:ilvl w:val="0"/>
          <w:numId w:val="11"/>
        </w:numPr>
        <w:ind w:left="357" w:hanging="357"/>
      </w:pPr>
      <w:bookmarkStart w:id="5" w:name="_Toc157420111"/>
      <w:r w:rsidRPr="00E546C4">
        <w:rPr>
          <w:lang w:bidi="fr-FR"/>
        </w:rPr>
        <w:t>Résumé de la déclaration d</w:t>
      </w:r>
      <w:r w:rsidR="0008241D">
        <w:rPr>
          <w:lang w:bidi="fr-FR"/>
        </w:rPr>
        <w:t>’</w:t>
      </w:r>
      <w:r w:rsidRPr="00E546C4">
        <w:rPr>
          <w:lang w:bidi="fr-FR"/>
        </w:rPr>
        <w:t>appétit pour le risque</w:t>
      </w:r>
      <w:bookmarkEnd w:id="5"/>
    </w:p>
    <w:p w14:paraId="1E44AB12" w14:textId="4C0C396F" w:rsidR="009D5A05" w:rsidRPr="0008241D" w:rsidRDefault="001729BC" w:rsidP="00893E60">
      <w:r>
        <w:rPr>
          <w:lang w:bidi="fr-FR"/>
        </w:rPr>
        <w:t>L</w:t>
      </w:r>
      <w:r w:rsidR="0008241D">
        <w:rPr>
          <w:lang w:bidi="fr-FR"/>
        </w:rPr>
        <w:t>’</w:t>
      </w:r>
      <w:r>
        <w:rPr>
          <w:lang w:bidi="fr-FR"/>
        </w:rPr>
        <w:t>appétit pour le risque a une incidence sur chaque aspect de la gestion du risque institutionnel et le schéma ci-dessous résume comment la déclaration favorise cette gestion au sein du PNUD.</w:t>
      </w:r>
    </w:p>
    <w:p w14:paraId="1DE2017D" w14:textId="77777777" w:rsidR="00CD58F8" w:rsidRPr="0008241D" w:rsidRDefault="00CD58F8" w:rsidP="00893E60"/>
    <w:p w14:paraId="4365E276" w14:textId="15E5BF0A" w:rsidR="009D5A05" w:rsidRPr="00781B40" w:rsidRDefault="00823C51" w:rsidP="00B6754C">
      <w:pPr>
        <w:jc w:val="center"/>
      </w:pPr>
      <w:r>
        <w:rPr>
          <w:noProof/>
          <w:lang w:bidi="fr-FR"/>
        </w:rPr>
        <w:lastRenderedPageBreak/>
        <mc:AlternateContent>
          <mc:Choice Requires="wps">
            <w:drawing>
              <wp:anchor distT="0" distB="0" distL="114300" distR="114300" simplePos="0" relativeHeight="251658240" behindDoc="0" locked="0" layoutInCell="1" allowOverlap="1" wp14:anchorId="53861678" wp14:editId="6FD5E777">
                <wp:simplePos x="0" y="0"/>
                <wp:positionH relativeFrom="column">
                  <wp:posOffset>-77152</wp:posOffset>
                </wp:positionH>
                <wp:positionV relativeFrom="paragraph">
                  <wp:posOffset>-282893</wp:posOffset>
                </wp:positionV>
                <wp:extent cx="787400" cy="1450340"/>
                <wp:effectExtent l="0" t="7620" r="328930" b="24130"/>
                <wp:wrapNone/>
                <wp:docPr id="3" name="Speech Bubble: Rectangle with Corners Rounded 3"/>
                <wp:cNvGraphicFramePr/>
                <a:graphic xmlns:a="http://schemas.openxmlformats.org/drawingml/2006/main">
                  <a:graphicData uri="http://schemas.microsoft.com/office/word/2010/wordprocessingShape">
                    <wps:wsp>
                      <wps:cNvSpPr/>
                      <wps:spPr>
                        <a:xfrm rot="16200000">
                          <a:off x="0" y="0"/>
                          <a:ext cx="787400" cy="1450340"/>
                        </a:xfrm>
                        <a:prstGeom prst="wedgeRoundRectCallout">
                          <a:avLst>
                            <a:gd name="adj1" fmla="val -23252"/>
                            <a:gd name="adj2" fmla="val 6906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D66F67" w14:textId="4313CAFA" w:rsidR="002A0A28" w:rsidRPr="004470B2" w:rsidRDefault="002A0A28" w:rsidP="004470B2">
                            <w:pPr>
                              <w:shd w:val="clear" w:color="auto" w:fill="FFFFFF" w:themeFill="background1"/>
                              <w:spacing w:after="0" w:line="240" w:lineRule="auto"/>
                              <w:rPr>
                                <w:sz w:val="16"/>
                                <w:szCs w:val="16"/>
                              </w:rPr>
                            </w:pPr>
                            <w:r w:rsidRPr="004470B2">
                              <w:rPr>
                                <w:sz w:val="16"/>
                                <w:szCs w:val="16"/>
                                <w:lang w:bidi="fr-FR"/>
                              </w:rPr>
                              <w:t>Cette déclaration décrit la méthode d</w:t>
                            </w:r>
                            <w:r w:rsidR="0008241D" w:rsidRPr="004470B2">
                              <w:rPr>
                                <w:sz w:val="16"/>
                                <w:szCs w:val="16"/>
                                <w:lang w:bidi="fr-FR"/>
                              </w:rPr>
                              <w:t>’</w:t>
                            </w:r>
                            <w:r w:rsidRPr="004470B2">
                              <w:rPr>
                                <w:sz w:val="16"/>
                                <w:szCs w:val="16"/>
                                <w:lang w:bidi="fr-FR"/>
                              </w:rPr>
                              <w:t>évaluation et de mise en œ</w:t>
                            </w:r>
                            <w:r w:rsidR="00823C51">
                              <w:rPr>
                                <w:sz w:val="16"/>
                                <w:szCs w:val="16"/>
                                <w:lang w:bidi="fr-FR"/>
                              </w:rPr>
                              <w:t>uvre</w:t>
                            </w:r>
                            <w:r w:rsidR="004470B2" w:rsidRPr="004470B2">
                              <w:rPr>
                                <w:sz w:val="16"/>
                                <w:szCs w:val="16"/>
                                <w:lang w:bidi="fr-FR"/>
                              </w:rPr>
                              <w:t xml:space="preserve"> applicable à la </w:t>
                            </w:r>
                            <w:r w:rsidR="009F17D1">
                              <w:rPr>
                                <w:sz w:val="16"/>
                                <w:szCs w:val="16"/>
                                <w:lang w:bidi="fr-FR"/>
                              </w:rPr>
                              <w:t>GRI</w:t>
                            </w: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16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left:0;text-align:left;margin-left:-6.05pt;margin-top:-22.3pt;width:62pt;height:114.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" adj="5778,25718" filled="f" strokecolor="#1f3763 [1604]" strokeweight="1pt">
                <v:textbox style="layout-flow:vertical" inset="1mm,1mm,1mm,1mm">
                  <w:txbxContent>
                    <w:p w14:paraId="28D66F67" w14:textId="4313CAFA" w:rsidR="002A0A28" w:rsidRPr="004470B2" w:rsidRDefault="002A0A28" w:rsidP="004470B2">
                      <w:pPr>
                        <w:shd w:val="clear" w:color="auto" w:fill="FFFFFF" w:themeFill="background1"/>
                        <w:spacing w:after="0" w:line="240" w:lineRule="auto"/>
                        <w:rPr>
                          <w:sz w:val="16"/>
                          <w:szCs w:val="16"/>
                        </w:rPr>
                      </w:pPr>
                      <w:r w:rsidRPr="004470B2">
                        <w:rPr>
                          <w:sz w:val="16"/>
                          <w:szCs w:val="16"/>
                          <w:lang w:bidi="fr-FR"/>
                        </w:rPr>
                        <w:t>Cette déclaration décrit la méthode d</w:t>
                      </w:r>
                      <w:r w:rsidR="0008241D" w:rsidRPr="004470B2">
                        <w:rPr>
                          <w:sz w:val="16"/>
                          <w:szCs w:val="16"/>
                          <w:lang w:bidi="fr-FR"/>
                        </w:rPr>
                        <w:t>’</w:t>
                      </w:r>
                      <w:r w:rsidRPr="004470B2">
                        <w:rPr>
                          <w:sz w:val="16"/>
                          <w:szCs w:val="16"/>
                          <w:lang w:bidi="fr-FR"/>
                        </w:rPr>
                        <w:t>évaluation et de mise en œ</w:t>
                      </w:r>
                      <w:r w:rsidR="00823C51">
                        <w:rPr>
                          <w:sz w:val="16"/>
                          <w:szCs w:val="16"/>
                          <w:lang w:bidi="fr-FR"/>
                        </w:rPr>
                        <w:t>uvre</w:t>
                      </w:r>
                      <w:r w:rsidR="004470B2" w:rsidRPr="004470B2">
                        <w:rPr>
                          <w:sz w:val="16"/>
                          <w:szCs w:val="16"/>
                          <w:lang w:bidi="fr-FR"/>
                        </w:rPr>
                        <w:t xml:space="preserve"> applicable à la </w:t>
                      </w:r>
                      <w:r w:rsidR="009F17D1">
                        <w:rPr>
                          <w:sz w:val="16"/>
                          <w:szCs w:val="16"/>
                          <w:lang w:bidi="fr-FR"/>
                        </w:rPr>
                        <w:t>GRI</w:t>
                      </w:r>
                    </w:p>
                  </w:txbxContent>
                </v:textbox>
              </v:shape>
            </w:pict>
          </mc:Fallback>
        </mc:AlternateContent>
      </w:r>
      <w:r>
        <w:rPr>
          <w:noProof/>
          <w:lang w:bidi="fr-FR"/>
        </w:rPr>
        <mc:AlternateContent>
          <mc:Choice Requires="wps">
            <w:drawing>
              <wp:anchor distT="0" distB="0" distL="114300" distR="114300" simplePos="0" relativeHeight="251658243" behindDoc="0" locked="0" layoutInCell="1" allowOverlap="1" wp14:anchorId="050F4547" wp14:editId="15E07C9F">
                <wp:simplePos x="0" y="0"/>
                <wp:positionH relativeFrom="column">
                  <wp:posOffset>-77470</wp:posOffset>
                </wp:positionH>
                <wp:positionV relativeFrom="paragraph">
                  <wp:posOffset>659765</wp:posOffset>
                </wp:positionV>
                <wp:extent cx="793750" cy="1456055"/>
                <wp:effectExtent l="0" t="7303" r="246698" b="18097"/>
                <wp:wrapNone/>
                <wp:docPr id="9" name="Speech Bubble: Rectangle with Corners Rounded 9"/>
                <wp:cNvGraphicFramePr/>
                <a:graphic xmlns:a="http://schemas.openxmlformats.org/drawingml/2006/main">
                  <a:graphicData uri="http://schemas.microsoft.com/office/word/2010/wordprocessingShape">
                    <wps:wsp>
                      <wps:cNvSpPr/>
                      <wps:spPr>
                        <a:xfrm rot="16200000">
                          <a:off x="0" y="0"/>
                          <a:ext cx="793750" cy="1456055"/>
                        </a:xfrm>
                        <a:prstGeom prst="wedgeRoundRectCallout">
                          <a:avLst>
                            <a:gd name="adj1" fmla="val -20833"/>
                            <a:gd name="adj2" fmla="val 6707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302B0B" w14:textId="5E9E0EE0" w:rsidR="00375EE7" w:rsidRPr="00823C51" w:rsidRDefault="00375EE7" w:rsidP="00823C51">
                            <w:pPr>
                              <w:shd w:val="clear" w:color="auto" w:fill="FFFFFF" w:themeFill="background1"/>
                              <w:spacing w:after="0" w:line="240" w:lineRule="auto"/>
                              <w:rPr>
                                <w:sz w:val="16"/>
                                <w:szCs w:val="16"/>
                              </w:rPr>
                            </w:pPr>
                            <w:r w:rsidRPr="00823C51">
                              <w:rPr>
                                <w:sz w:val="16"/>
                                <w:szCs w:val="16"/>
                                <w:lang w:bidi="fr-FR"/>
                              </w:rPr>
                              <w:t>Les orientations décrivent les modalités de mise en œuvre et de gouvernance.</w:t>
                            </w: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4547" id="Speech Bubble: Rectangle with Corners Rounded 9" o:spid="_x0000_s1027" type="#_x0000_t62" style="position:absolute;left:0;text-align:left;margin-left:-6.1pt;margin-top:51.95pt;width:62.5pt;height:114.6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" adj="6300,25289" filled="f" strokecolor="#1f3763 [1604]" strokeweight="1pt">
                <v:textbox style="layout-flow:vertical" inset="1mm,1mm,1mm,1mm">
                  <w:txbxContent>
                    <w:p w14:paraId="78302B0B" w14:textId="5E9E0EE0" w:rsidR="00375EE7" w:rsidRPr="00823C51" w:rsidRDefault="00375EE7" w:rsidP="00823C51">
                      <w:pPr>
                        <w:shd w:val="clear" w:color="auto" w:fill="FFFFFF" w:themeFill="background1"/>
                        <w:spacing w:after="0" w:line="240" w:lineRule="auto"/>
                        <w:rPr>
                          <w:sz w:val="16"/>
                          <w:szCs w:val="16"/>
                        </w:rPr>
                      </w:pPr>
                      <w:r w:rsidRPr="00823C51">
                        <w:rPr>
                          <w:sz w:val="16"/>
                          <w:szCs w:val="16"/>
                          <w:lang w:bidi="fr-FR"/>
                        </w:rPr>
                        <w:t>Les orientations décrivent les modalités de mise en œuvre et de gouvernance.</w:t>
                      </w:r>
                    </w:p>
                  </w:txbxContent>
                </v:textbox>
              </v:shape>
            </w:pict>
          </mc:Fallback>
        </mc:AlternateContent>
      </w:r>
      <w:r>
        <w:rPr>
          <w:noProof/>
          <w:lang w:bidi="fr-FR"/>
        </w:rPr>
        <mc:AlternateContent>
          <mc:Choice Requires="wps">
            <w:drawing>
              <wp:anchor distT="0" distB="0" distL="114300" distR="114300" simplePos="0" relativeHeight="251658242" behindDoc="0" locked="0" layoutInCell="1" allowOverlap="1" wp14:anchorId="41802CEE" wp14:editId="18946D98">
                <wp:simplePos x="0" y="0"/>
                <wp:positionH relativeFrom="column">
                  <wp:posOffset>5286058</wp:posOffset>
                </wp:positionH>
                <wp:positionV relativeFrom="paragraph">
                  <wp:posOffset>-282258</wp:posOffset>
                </wp:positionV>
                <wp:extent cx="809625" cy="1521460"/>
                <wp:effectExtent l="196533" t="51117" r="53657" b="53658"/>
                <wp:wrapNone/>
                <wp:docPr id="8" name="Speech Bubble: Rectangle with Corners Rounded 8"/>
                <wp:cNvGraphicFramePr/>
                <a:graphic xmlns:a="http://schemas.openxmlformats.org/drawingml/2006/main">
                  <a:graphicData uri="http://schemas.microsoft.com/office/word/2010/wordprocessingShape">
                    <wps:wsp>
                      <wps:cNvSpPr/>
                      <wps:spPr>
                        <a:xfrm rot="5400000">
                          <a:off x="0" y="0"/>
                          <a:ext cx="809625" cy="1521460"/>
                        </a:xfrm>
                        <a:prstGeom prst="wedgeRoundRectCallout">
                          <a:avLst>
                            <a:gd name="adj1" fmla="val -22010"/>
                            <a:gd name="adj2" fmla="val 67508"/>
                            <a:gd name="adj3" fmla="val 16667"/>
                          </a:avLst>
                        </a:prstGeom>
                        <a:noFill/>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59CF91DD" w14:textId="0633CAF1" w:rsidR="002A0A28" w:rsidRPr="00823C51" w:rsidRDefault="002A0A28" w:rsidP="00823C51">
                            <w:pPr>
                              <w:shd w:val="clear" w:color="auto" w:fill="FFFFFF" w:themeFill="background1"/>
                              <w:spacing w:after="0" w:line="240" w:lineRule="auto"/>
                              <w:rPr>
                                <w:color w:val="000000" w:themeColor="text1"/>
                                <w:sz w:val="16"/>
                                <w:szCs w:val="16"/>
                              </w:rPr>
                            </w:pPr>
                            <w:r w:rsidRPr="00823C51">
                              <w:rPr>
                                <w:sz w:val="16"/>
                                <w:szCs w:val="16"/>
                                <w:lang w:bidi="fr-FR"/>
                              </w:rPr>
                              <w:t>Le processus de déclaration d</w:t>
                            </w:r>
                            <w:r w:rsidR="0008241D" w:rsidRPr="00823C51">
                              <w:rPr>
                                <w:sz w:val="16"/>
                                <w:szCs w:val="16"/>
                                <w:lang w:bidi="fr-FR"/>
                              </w:rPr>
                              <w:t>’</w:t>
                            </w:r>
                            <w:r w:rsidRPr="00823C51">
                              <w:rPr>
                                <w:sz w:val="16"/>
                                <w:szCs w:val="16"/>
                                <w:lang w:bidi="fr-FR"/>
                              </w:rPr>
                              <w:t>appétit pour le risque fait partie intégrante du processus de prise de décisions.</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1802CEE" id="Speech Bubble: Rectangle with Corners Rounded 8" o:spid="_x0000_s1028" type="#_x0000_t62" style="position:absolute;left:0;text-align:left;margin-left:416.25pt;margin-top:-22.25pt;width:63.75pt;height:119.8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" adj="6046,25382" filled="f" strokecolor="#1f3763 [1604]" strokeweight="1pt">
                <v:textbox style="layout-flow:vertical;mso-layout-flow-alt:bottom-to-top" inset="1mm,1mm,1mm,1mm">
                  <w:txbxContent>
                    <w:p w14:paraId="59CF91DD" w14:textId="0633CAF1" w:rsidR="002A0A28" w:rsidRPr="00823C51" w:rsidRDefault="002A0A28" w:rsidP="00823C51">
                      <w:pPr>
                        <w:shd w:val="clear" w:color="auto" w:fill="FFFFFF" w:themeFill="background1"/>
                        <w:spacing w:after="0" w:line="240" w:lineRule="auto"/>
                        <w:rPr>
                          <w:color w:val="000000" w:themeColor="text1"/>
                          <w:sz w:val="16"/>
                          <w:szCs w:val="16"/>
                        </w:rPr>
                      </w:pPr>
                      <w:r w:rsidRPr="00823C51">
                        <w:rPr>
                          <w:sz w:val="16"/>
                          <w:szCs w:val="16"/>
                          <w:lang w:bidi="fr-FR"/>
                        </w:rPr>
                        <w:t>Le processus de déclaration d</w:t>
                      </w:r>
                      <w:r w:rsidR="0008241D" w:rsidRPr="00823C51">
                        <w:rPr>
                          <w:sz w:val="16"/>
                          <w:szCs w:val="16"/>
                          <w:lang w:bidi="fr-FR"/>
                        </w:rPr>
                        <w:t>’</w:t>
                      </w:r>
                      <w:r w:rsidRPr="00823C51">
                        <w:rPr>
                          <w:sz w:val="16"/>
                          <w:szCs w:val="16"/>
                          <w:lang w:bidi="fr-FR"/>
                        </w:rPr>
                        <w:t>appétit pour le risque fait partie intégrante du processus de prise de décisions.</w:t>
                      </w:r>
                    </w:p>
                  </w:txbxContent>
                </v:textbox>
              </v:shape>
            </w:pict>
          </mc:Fallback>
        </mc:AlternateContent>
      </w:r>
      <w:r>
        <w:rPr>
          <w:noProof/>
          <w:lang w:bidi="fr-FR"/>
        </w:rPr>
        <mc:AlternateContent>
          <mc:Choice Requires="wps">
            <w:drawing>
              <wp:anchor distT="0" distB="0" distL="114300" distR="114300" simplePos="0" relativeHeight="251658241" behindDoc="0" locked="0" layoutInCell="1" allowOverlap="1" wp14:anchorId="368455FF" wp14:editId="7BCC1A6F">
                <wp:simplePos x="0" y="0"/>
                <wp:positionH relativeFrom="column">
                  <wp:posOffset>5324793</wp:posOffset>
                </wp:positionH>
                <wp:positionV relativeFrom="paragraph">
                  <wp:posOffset>670877</wp:posOffset>
                </wp:positionV>
                <wp:extent cx="790575" cy="1512570"/>
                <wp:effectExtent l="153353" t="0" r="10477" b="10478"/>
                <wp:wrapNone/>
                <wp:docPr id="4" name="Speech Bubble: Rectangle with Corners Rounded 4"/>
                <wp:cNvGraphicFramePr/>
                <a:graphic xmlns:a="http://schemas.openxmlformats.org/drawingml/2006/main">
                  <a:graphicData uri="http://schemas.microsoft.com/office/word/2010/wordprocessingShape">
                    <wps:wsp>
                      <wps:cNvSpPr/>
                      <wps:spPr>
                        <a:xfrm rot="5400000">
                          <a:off x="0" y="0"/>
                          <a:ext cx="790575" cy="1512570"/>
                        </a:xfrm>
                        <a:prstGeom prst="wedgeRoundRectCallout">
                          <a:avLst>
                            <a:gd name="adj1" fmla="val -20834"/>
                            <a:gd name="adj2" fmla="val 6879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24D38E" w14:textId="6B29A5C2" w:rsidR="002A0A28" w:rsidRPr="00823C51" w:rsidRDefault="002A0A28" w:rsidP="00823C51">
                            <w:pPr>
                              <w:shd w:val="clear" w:color="auto" w:fill="FFFFFF" w:themeFill="background1"/>
                              <w:spacing w:after="0" w:line="240" w:lineRule="auto"/>
                              <w:rPr>
                                <w:color w:val="000000" w:themeColor="text1"/>
                                <w:sz w:val="16"/>
                                <w:szCs w:val="16"/>
                              </w:rPr>
                            </w:pPr>
                            <w:r w:rsidRPr="00823C51">
                              <w:rPr>
                                <w:sz w:val="16"/>
                                <w:szCs w:val="16"/>
                                <w:lang w:bidi="fr-FR"/>
                              </w:rPr>
                              <w:t>La déclaration d</w:t>
                            </w:r>
                            <w:r w:rsidR="0008241D" w:rsidRPr="00823C51">
                              <w:rPr>
                                <w:sz w:val="16"/>
                                <w:szCs w:val="16"/>
                                <w:lang w:bidi="fr-FR"/>
                              </w:rPr>
                              <w:t>’</w:t>
                            </w:r>
                            <w:r w:rsidRPr="00823C51">
                              <w:rPr>
                                <w:sz w:val="16"/>
                                <w:szCs w:val="16"/>
                                <w:lang w:bidi="fr-FR"/>
                              </w:rPr>
                              <w:t>appétit pour le risque favorise l</w:t>
                            </w:r>
                            <w:r w:rsidR="0008241D" w:rsidRPr="00823C51">
                              <w:rPr>
                                <w:sz w:val="16"/>
                                <w:szCs w:val="16"/>
                                <w:lang w:bidi="fr-FR"/>
                              </w:rPr>
                              <w:t>’</w:t>
                            </w:r>
                            <w:r w:rsidRPr="00823C51">
                              <w:rPr>
                                <w:sz w:val="16"/>
                                <w:szCs w:val="16"/>
                                <w:lang w:bidi="fr-FR"/>
                              </w:rPr>
                              <w:t>innovation et l</w:t>
                            </w:r>
                            <w:r w:rsidR="0008241D" w:rsidRPr="00823C51">
                              <w:rPr>
                                <w:sz w:val="16"/>
                                <w:szCs w:val="16"/>
                                <w:lang w:bidi="fr-FR"/>
                              </w:rPr>
                              <w:t>’</w:t>
                            </w:r>
                            <w:r w:rsidRPr="00823C51">
                              <w:rPr>
                                <w:sz w:val="16"/>
                                <w:szCs w:val="16"/>
                                <w:lang w:bidi="fr-FR"/>
                              </w:rPr>
                              <w:t>apprentissage, en permettant la prise de décisions m</w:t>
                            </w:r>
                            <w:r w:rsidR="0049760F">
                              <w:rPr>
                                <w:sz w:val="16"/>
                                <w:szCs w:val="16"/>
                                <w:lang w:bidi="fr-FR"/>
                              </w:rPr>
                              <w:t>ieux fondées</w:t>
                            </w:r>
                            <w:r w:rsidRPr="00823C51">
                              <w:rPr>
                                <w:sz w:val="16"/>
                                <w:szCs w:val="16"/>
                                <w:lang w:bidi="fr-FR"/>
                              </w:rPr>
                              <w:t xml:space="preserve"> et innovantes.</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55FF" id="Speech Bubble: Rectangle with Corners Rounded 4" o:spid="_x0000_s1029" type="#_x0000_t62" style="position:absolute;left:0;text-align:left;margin-left:419.3pt;margin-top:52.8pt;width:62.25pt;height:119.1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" adj="6300,25660" filled="f" strokecolor="#1f3763 [1604]" strokeweight="1pt">
                <v:textbox style="layout-flow:vertical;mso-layout-flow-alt:bottom-to-top" inset="1mm,1mm,1mm,1mm">
                  <w:txbxContent>
                    <w:p w14:paraId="4624D38E" w14:textId="6B29A5C2" w:rsidR="002A0A28" w:rsidRPr="00823C51" w:rsidRDefault="002A0A28" w:rsidP="00823C51">
                      <w:pPr>
                        <w:shd w:val="clear" w:color="auto" w:fill="FFFFFF" w:themeFill="background1"/>
                        <w:spacing w:after="0" w:line="240" w:lineRule="auto"/>
                        <w:rPr>
                          <w:color w:val="000000" w:themeColor="text1"/>
                          <w:sz w:val="16"/>
                          <w:szCs w:val="16"/>
                        </w:rPr>
                      </w:pPr>
                      <w:r w:rsidRPr="00823C51">
                        <w:rPr>
                          <w:sz w:val="16"/>
                          <w:szCs w:val="16"/>
                          <w:lang w:bidi="fr-FR"/>
                        </w:rPr>
                        <w:t>La déclaration d</w:t>
                      </w:r>
                      <w:r w:rsidR="0008241D" w:rsidRPr="00823C51">
                        <w:rPr>
                          <w:sz w:val="16"/>
                          <w:szCs w:val="16"/>
                          <w:lang w:bidi="fr-FR"/>
                        </w:rPr>
                        <w:t>’</w:t>
                      </w:r>
                      <w:r w:rsidRPr="00823C51">
                        <w:rPr>
                          <w:sz w:val="16"/>
                          <w:szCs w:val="16"/>
                          <w:lang w:bidi="fr-FR"/>
                        </w:rPr>
                        <w:t>appétit pour le risque favorise l</w:t>
                      </w:r>
                      <w:r w:rsidR="0008241D" w:rsidRPr="00823C51">
                        <w:rPr>
                          <w:sz w:val="16"/>
                          <w:szCs w:val="16"/>
                          <w:lang w:bidi="fr-FR"/>
                        </w:rPr>
                        <w:t>’</w:t>
                      </w:r>
                      <w:r w:rsidRPr="00823C51">
                        <w:rPr>
                          <w:sz w:val="16"/>
                          <w:szCs w:val="16"/>
                          <w:lang w:bidi="fr-FR"/>
                        </w:rPr>
                        <w:t>innovation et l</w:t>
                      </w:r>
                      <w:r w:rsidR="0008241D" w:rsidRPr="00823C51">
                        <w:rPr>
                          <w:sz w:val="16"/>
                          <w:szCs w:val="16"/>
                          <w:lang w:bidi="fr-FR"/>
                        </w:rPr>
                        <w:t>’</w:t>
                      </w:r>
                      <w:r w:rsidRPr="00823C51">
                        <w:rPr>
                          <w:sz w:val="16"/>
                          <w:szCs w:val="16"/>
                          <w:lang w:bidi="fr-FR"/>
                        </w:rPr>
                        <w:t>apprentissage, en permettant la prise de décisions m</w:t>
                      </w:r>
                      <w:r w:rsidR="0049760F">
                        <w:rPr>
                          <w:sz w:val="16"/>
                          <w:szCs w:val="16"/>
                          <w:lang w:bidi="fr-FR"/>
                        </w:rPr>
                        <w:t>ieux fondées</w:t>
                      </w:r>
                      <w:r w:rsidRPr="00823C51">
                        <w:rPr>
                          <w:sz w:val="16"/>
                          <w:szCs w:val="16"/>
                          <w:lang w:bidi="fr-FR"/>
                        </w:rPr>
                        <w:t xml:space="preserve"> et innovantes.</w:t>
                      </w:r>
                    </w:p>
                  </w:txbxContent>
                </v:textbox>
              </v:shape>
            </w:pict>
          </mc:Fallback>
        </mc:AlternateContent>
      </w:r>
      <w:r w:rsidR="00781B40">
        <w:rPr>
          <w:noProof/>
        </w:rPr>
        <w:drawing>
          <wp:inline distT="0" distB="0" distL="0" distR="0" wp14:anchorId="3056AE4B" wp14:editId="44D1D971">
            <wp:extent cx="3662686" cy="2110740"/>
            <wp:effectExtent l="0" t="0" r="0" b="3810"/>
            <wp:docPr id="306285274"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85274" name="Picture 1" descr="A blue square with white text&#10;&#10;Description automatically generated"/>
                    <pic:cNvPicPr/>
                  </pic:nvPicPr>
                  <pic:blipFill>
                    <a:blip r:embed="rId13"/>
                    <a:stretch>
                      <a:fillRect/>
                    </a:stretch>
                  </pic:blipFill>
                  <pic:spPr>
                    <a:xfrm>
                      <a:off x="0" y="0"/>
                      <a:ext cx="3703955" cy="2134523"/>
                    </a:xfrm>
                    <a:prstGeom prst="rect">
                      <a:avLst/>
                    </a:prstGeom>
                  </pic:spPr>
                </pic:pic>
              </a:graphicData>
            </a:graphic>
          </wp:inline>
        </w:drawing>
      </w:r>
    </w:p>
    <w:p w14:paraId="3E2D849A" w14:textId="190CBC5A" w:rsidR="00A04288" w:rsidRPr="0008241D" w:rsidRDefault="00D24E7B" w:rsidP="00FF788E">
      <w:r>
        <w:rPr>
          <w:lang w:bidi="fr-FR"/>
        </w:rPr>
        <w:t>La déclaration classe chaque catégorie de risque sur une échelle d</w:t>
      </w:r>
      <w:r w:rsidR="0008241D">
        <w:rPr>
          <w:lang w:bidi="fr-FR"/>
        </w:rPr>
        <w:t>’</w:t>
      </w:r>
      <w:r>
        <w:rPr>
          <w:lang w:bidi="fr-FR"/>
        </w:rPr>
        <w:t>appétit pour le risque allant de « minimum » à « actif », comme le montre le tableau ci-dessous.</w:t>
      </w:r>
    </w:p>
    <w:p w14:paraId="3940A21B" w14:textId="18F9DD22" w:rsidR="00A04288" w:rsidRPr="0008241D" w:rsidRDefault="007612A9" w:rsidP="00FF788E">
      <w:r>
        <w:rPr>
          <w:noProof/>
          <w:lang w:bidi="fr-FR"/>
        </w:rPr>
        <mc:AlternateContent>
          <mc:Choice Requires="wpg">
            <w:drawing>
              <wp:anchor distT="0" distB="0" distL="114300" distR="114300" simplePos="0" relativeHeight="251658244" behindDoc="0" locked="0" layoutInCell="1" allowOverlap="1" wp14:anchorId="44A51D4C" wp14:editId="16292482">
                <wp:simplePos x="0" y="0"/>
                <wp:positionH relativeFrom="column">
                  <wp:posOffset>0</wp:posOffset>
                </wp:positionH>
                <wp:positionV relativeFrom="paragraph">
                  <wp:posOffset>15966</wp:posOffset>
                </wp:positionV>
                <wp:extent cx="6042667" cy="587459"/>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7" cy="587459"/>
                          <a:chOff x="0" y="0"/>
                          <a:chExt cx="6042667" cy="587459"/>
                        </a:xfrm>
                      </wpg:grpSpPr>
                      <wpg:grpSp>
                        <wpg:cNvPr id="12" name="Group 19"/>
                        <wpg:cNvGrpSpPr/>
                        <wpg:grpSpPr>
                          <a:xfrm>
                            <a:off x="91621" y="0"/>
                            <a:ext cx="5805752" cy="585670"/>
                            <a:chOff x="90822" y="0"/>
                            <a:chExt cx="5805752" cy="58567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614" y="225625"/>
                              <a:ext cx="739140" cy="360045"/>
                            </a:xfrm>
                            <a:prstGeom prst="rect">
                              <a:avLst/>
                            </a:prstGeom>
                            <a:noFill/>
                          </wps:spPr>
                          <wps:txbx>
                            <w:txbxContent>
                              <w:p w14:paraId="4026E44D" w14:textId="77777777" w:rsidR="00A04288" w:rsidRDefault="00A04288" w:rsidP="00A04288">
                                <w:pPr>
                                  <w:jc w:val="center"/>
                                  <w:rPr>
                                    <w:sz w:val="24"/>
                                    <w:szCs w:val="24"/>
                                  </w:rPr>
                                </w:pPr>
                                <w:r>
                                  <w:rPr>
                                    <w:b/>
                                    <w:color w:val="2F5496" w:themeColor="accent1" w:themeShade="BF"/>
                                    <w:kern w:val="24"/>
                                    <w:sz w:val="20"/>
                                    <w:lang w:bidi="fr-FR"/>
                                  </w:rPr>
                                  <w:t xml:space="preserve">Ouvert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164"/>
                            <a:ext cx="738505" cy="360045"/>
                          </a:xfrm>
                          <a:prstGeom prst="rect">
                            <a:avLst/>
                          </a:prstGeom>
                          <a:noFill/>
                        </wps:spPr>
                        <wps:txbx>
                          <w:txbxContent>
                            <w:p w14:paraId="2F113DF5" w14:textId="77777777" w:rsidR="00A04288" w:rsidRDefault="00A04288" w:rsidP="00A04288">
                              <w:pPr>
                                <w:jc w:val="center"/>
                                <w:rPr>
                                  <w:sz w:val="24"/>
                                  <w:szCs w:val="24"/>
                                </w:rPr>
                              </w:pPr>
                              <w:r>
                                <w:rPr>
                                  <w:b/>
                                  <w:color w:val="9FB7E3"/>
                                  <w:kern w:val="24"/>
                                  <w:sz w:val="20"/>
                                  <w:lang w:bidi="fr-FR"/>
                                </w:rPr>
                                <w:t>Minimum</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478" y="227414"/>
                            <a:ext cx="739140" cy="360045"/>
                          </a:xfrm>
                          <a:prstGeom prst="rect">
                            <a:avLst/>
                          </a:prstGeom>
                          <a:noFill/>
                        </wps:spPr>
                        <wps:txbx>
                          <w:txbxContent>
                            <w:p w14:paraId="4382ADA1" w14:textId="77777777" w:rsidR="00A04288" w:rsidRDefault="00A04288" w:rsidP="00A04288">
                              <w:pPr>
                                <w:jc w:val="center"/>
                                <w:rPr>
                                  <w:sz w:val="24"/>
                                  <w:szCs w:val="24"/>
                                </w:rPr>
                              </w:pPr>
                              <w:r>
                                <w:rPr>
                                  <w:b/>
                                  <w:color w:val="8EAADB" w:themeColor="accent1" w:themeTint="99"/>
                                  <w:kern w:val="24"/>
                                  <w:sz w:val="20"/>
                                  <w:lang w:bidi="fr-FR"/>
                                </w:rPr>
                                <w:t>Prudent</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79980" y="220079"/>
                            <a:ext cx="1215390" cy="360045"/>
                          </a:xfrm>
                          <a:prstGeom prst="rect">
                            <a:avLst/>
                          </a:prstGeom>
                          <a:noFill/>
                        </wps:spPr>
                        <wps:txbx>
                          <w:txbxContent>
                            <w:p w14:paraId="074BDA39" w14:textId="77777777" w:rsidR="00A04288" w:rsidRDefault="00A04288" w:rsidP="00A04288">
                              <w:pPr>
                                <w:jc w:val="center"/>
                                <w:rPr>
                                  <w:sz w:val="24"/>
                                  <w:szCs w:val="24"/>
                                </w:rPr>
                              </w:pPr>
                              <w:r>
                                <w:rPr>
                                  <w:b/>
                                  <w:color w:val="4472C4" w:themeColor="accent1"/>
                                  <w:kern w:val="24"/>
                                  <w:sz w:val="20"/>
                                  <w:lang w:bidi="fr-FR"/>
                                </w:rPr>
                                <w:t>Exploratoire</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162" y="213016"/>
                            <a:ext cx="738505" cy="360045"/>
                          </a:xfrm>
                          <a:prstGeom prst="rect">
                            <a:avLst/>
                          </a:prstGeom>
                          <a:noFill/>
                        </wps:spPr>
                        <wps:txbx>
                          <w:txbxContent>
                            <w:p w14:paraId="03FF834B" w14:textId="77777777" w:rsidR="00A04288" w:rsidRDefault="00A04288" w:rsidP="00A04288">
                              <w:pPr>
                                <w:jc w:val="center"/>
                                <w:rPr>
                                  <w:sz w:val="24"/>
                                  <w:szCs w:val="24"/>
                                </w:rPr>
                              </w:pPr>
                              <w:r>
                                <w:rPr>
                                  <w:b/>
                                  <w:color w:val="1F3864" w:themeColor="accent1" w:themeShade="80"/>
                                  <w:kern w:val="24"/>
                                  <w:sz w:val="20"/>
                                  <w:lang w:bidi="fr-FR"/>
                                </w:rPr>
                                <w:t>Actif</w:t>
                              </w:r>
                            </w:p>
                          </w:txbxContent>
                        </wps:txbx>
                        <wps:bodyPr wrap="square" rtlCol="0">
                          <a:spAutoFit/>
                        </wps:bodyPr>
                      </wps:wsp>
                    </wpg:wgp>
                  </a:graphicData>
                </a:graphic>
              </wp:anchor>
            </w:drawing>
          </mc:Choice>
          <mc:Fallback>
            <w:pict>
              <v:group w14:anchorId="44A51D4C" id="Group 10" o:spid="_x0000_s1030" style="position:absolute;margin-left:0;margin-top:1.25pt;width:475.8pt;height:46.25pt;z-index:251658244" coordsize="60426,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">
                <v:group id="Group 19" o:spid="_x0000_s1031" style="position:absolute;left:916;width:58057;height:5856" coordorigin="908" coordsize="58057,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32"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33" type="#_x0000_t202" style="position:absolute;left:40106;top:2256;width:739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026E44D" w14:textId="77777777" w:rsidR="00A04288" w:rsidRDefault="00A04288" w:rsidP="00A04288">
                          <w:pPr>
                            <w:jc w:val="center"/>
                            <w:rPr>
                              <w:sz w:val="24"/>
                              <w:szCs w:val="24"/>
                            </w:rPr>
                          </w:pPr>
                          <w:r>
                            <w:rPr>
                              <w:b/>
                              <w:color w:val="2F5496" w:themeColor="accent1" w:themeShade="BF"/>
                              <w:kern w:val="24"/>
                              <w:sz w:val="20"/>
                              <w:lang w:bidi="fr-FR"/>
                            </w:rPr>
                            <w:t xml:space="preserve">Ouvert </w:t>
                          </w:r>
                        </w:p>
                      </w:txbxContent>
                    </v:textbox>
                  </v:shape>
                </v:group>
                <v:shape id="TextBox 22" o:spid="_x0000_s1034" type="#_x0000_t202" style="position:absolute;top:2201;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F113DF5" w14:textId="77777777" w:rsidR="00A04288" w:rsidRDefault="00A04288" w:rsidP="00A04288">
                        <w:pPr>
                          <w:jc w:val="center"/>
                          <w:rPr>
                            <w:sz w:val="24"/>
                            <w:szCs w:val="24"/>
                          </w:rPr>
                        </w:pPr>
                        <w:r>
                          <w:rPr>
                            <w:b/>
                            <w:color w:val="9FB7E3"/>
                            <w:kern w:val="24"/>
                            <w:sz w:val="20"/>
                            <w:lang w:bidi="fr-FR"/>
                          </w:rPr>
                          <w:t>Minimum</w:t>
                        </w:r>
                      </w:p>
                    </w:txbxContent>
                  </v:textbox>
                </v:shape>
                <v:shape id="TextBox 23" o:spid="_x0000_s1035" type="#_x0000_t202" style="position:absolute;left:11754;top:2274;width:7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382ADA1" w14:textId="77777777" w:rsidR="00A04288" w:rsidRDefault="00A04288" w:rsidP="00A04288">
                        <w:pPr>
                          <w:jc w:val="center"/>
                          <w:rPr>
                            <w:sz w:val="24"/>
                            <w:szCs w:val="24"/>
                          </w:rPr>
                        </w:pPr>
                        <w:r>
                          <w:rPr>
                            <w:b/>
                            <w:color w:val="8EAADB" w:themeColor="accent1" w:themeTint="99"/>
                            <w:kern w:val="24"/>
                            <w:sz w:val="20"/>
                            <w:lang w:bidi="fr-FR"/>
                          </w:rPr>
                          <w:t>Prudent</w:t>
                        </w:r>
                      </w:p>
                    </w:txbxContent>
                  </v:textbox>
                </v:shape>
                <v:shape id="TextBox 24" o:spid="_x0000_s1036" type="#_x0000_t202" style="position:absolute;left:23799;top:2200;width:1215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74BDA39" w14:textId="77777777" w:rsidR="00A04288" w:rsidRDefault="00A04288" w:rsidP="00A04288">
                        <w:pPr>
                          <w:jc w:val="center"/>
                          <w:rPr>
                            <w:sz w:val="24"/>
                            <w:szCs w:val="24"/>
                          </w:rPr>
                        </w:pPr>
                        <w:r>
                          <w:rPr>
                            <w:b/>
                            <w:color w:val="4472C4" w:themeColor="accent1"/>
                            <w:kern w:val="24"/>
                            <w:sz w:val="20"/>
                            <w:lang w:bidi="fr-FR"/>
                          </w:rPr>
                          <w:t>Exploratoire</w:t>
                        </w:r>
                      </w:p>
                    </w:txbxContent>
                  </v:textbox>
                </v:shape>
                <v:shape id="TextBox 25" o:spid="_x0000_s1037" type="#_x0000_t202" style="position:absolute;left:53041;top:2130;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3FF834B" w14:textId="77777777" w:rsidR="00A04288" w:rsidRDefault="00A04288" w:rsidP="00A04288">
                        <w:pPr>
                          <w:jc w:val="center"/>
                          <w:rPr>
                            <w:sz w:val="24"/>
                            <w:szCs w:val="24"/>
                          </w:rPr>
                        </w:pPr>
                        <w:r>
                          <w:rPr>
                            <w:b/>
                            <w:color w:val="1F3864" w:themeColor="accent1" w:themeShade="80"/>
                            <w:kern w:val="24"/>
                            <w:sz w:val="20"/>
                            <w:lang w:bidi="fr-FR"/>
                          </w:rPr>
                          <w:t>Actif</w:t>
                        </w:r>
                      </w:p>
                    </w:txbxContent>
                  </v:textbox>
                </v:shape>
              </v:group>
            </w:pict>
          </mc:Fallback>
        </mc:AlternateContent>
      </w:r>
    </w:p>
    <w:p w14:paraId="7D0764CF" w14:textId="0DB00C8B" w:rsidR="00A04288" w:rsidRPr="0008241D" w:rsidRDefault="00A04288" w:rsidP="00FF788E"/>
    <w:p w14:paraId="21F933F9" w14:textId="57D5C210" w:rsidR="00583C0A" w:rsidRDefault="00375EE7" w:rsidP="00583C0A">
      <w:pPr>
        <w:pStyle w:val="ListParagraph"/>
        <w:numPr>
          <w:ilvl w:val="0"/>
          <w:numId w:val="15"/>
        </w:numPr>
      </w:pPr>
      <w:r>
        <w:rPr>
          <w:b/>
          <w:lang w:bidi="fr-FR"/>
        </w:rPr>
        <w:t xml:space="preserve">Appétit pour le risque minimum </w:t>
      </w:r>
      <w:r>
        <w:rPr>
          <w:lang w:bidi="fr-FR"/>
        </w:rPr>
        <w:t>– domaines dans lesquels le PNUD applique des contrôles stricts afin de réduire ou de minimiser la probabilité qu</w:t>
      </w:r>
      <w:r w:rsidR="0008241D">
        <w:rPr>
          <w:lang w:bidi="fr-FR"/>
        </w:rPr>
        <w:t>’</w:t>
      </w:r>
      <w:r>
        <w:rPr>
          <w:lang w:bidi="fr-FR"/>
        </w:rPr>
        <w:t>un risque se concrétise et/ou de réduire l</w:t>
      </w:r>
      <w:r w:rsidR="0008241D">
        <w:rPr>
          <w:lang w:bidi="fr-FR"/>
        </w:rPr>
        <w:t>’</w:t>
      </w:r>
      <w:r>
        <w:rPr>
          <w:lang w:bidi="fr-FR"/>
        </w:rPr>
        <w:t>impact de tout risque.</w:t>
      </w:r>
    </w:p>
    <w:p w14:paraId="27D8E8E4" w14:textId="53412089" w:rsidR="00375EE7" w:rsidRDefault="00375EE7" w:rsidP="00583C0A">
      <w:pPr>
        <w:pStyle w:val="ListParagraph"/>
        <w:numPr>
          <w:ilvl w:val="0"/>
          <w:numId w:val="15"/>
        </w:numPr>
      </w:pPr>
      <w:r w:rsidRPr="00BFEFB5">
        <w:rPr>
          <w:b/>
          <w:lang w:bidi="fr-FR"/>
        </w:rPr>
        <w:t>Appétit pour le risque prudent</w:t>
      </w:r>
      <w:r w:rsidRPr="00BFEFB5">
        <w:rPr>
          <w:lang w:bidi="fr-FR"/>
        </w:rPr>
        <w:t xml:space="preserve"> – domaines dans lesquels le PNUD recherche des possibilités d</w:t>
      </w:r>
      <w:r w:rsidR="0008241D">
        <w:rPr>
          <w:lang w:bidi="fr-FR"/>
        </w:rPr>
        <w:t>’</w:t>
      </w:r>
      <w:r w:rsidRPr="00BFEFB5">
        <w:rPr>
          <w:lang w:bidi="fr-FR"/>
        </w:rPr>
        <w:t>exécution faiblement risquées et ne teste d</w:t>
      </w:r>
      <w:r w:rsidR="0008241D">
        <w:rPr>
          <w:lang w:bidi="fr-FR"/>
        </w:rPr>
        <w:t>’</w:t>
      </w:r>
      <w:r w:rsidRPr="00BFEFB5">
        <w:rPr>
          <w:lang w:bidi="fr-FR"/>
        </w:rPr>
        <w:t>innovations que dans un environnement contrôlé.</w:t>
      </w:r>
    </w:p>
    <w:p w14:paraId="13FE5B66" w14:textId="3DA04D04" w:rsidR="00583C0A" w:rsidRDefault="00375EE7" w:rsidP="00583C0A">
      <w:pPr>
        <w:pStyle w:val="ListParagraph"/>
        <w:numPr>
          <w:ilvl w:val="0"/>
          <w:numId w:val="15"/>
        </w:numPr>
      </w:pPr>
      <w:r>
        <w:rPr>
          <w:b/>
          <w:lang w:bidi="fr-FR"/>
        </w:rPr>
        <w:t>Appétit pour le risque exploratoire</w:t>
      </w:r>
      <w:r>
        <w:rPr>
          <w:lang w:bidi="fr-FR"/>
        </w:rPr>
        <w:t xml:space="preserve"> – domaines dans lesquels le PNUD recherche un équilibre entre les avantages potentiels et les risques inhérents à une décision, et envisage de nouvelles solutions et options d</w:t>
      </w:r>
      <w:r w:rsidR="0008241D">
        <w:rPr>
          <w:lang w:bidi="fr-FR"/>
        </w:rPr>
        <w:t>’</w:t>
      </w:r>
      <w:r>
        <w:rPr>
          <w:lang w:bidi="fr-FR"/>
        </w:rPr>
        <w:t>exécution.</w:t>
      </w:r>
    </w:p>
    <w:p w14:paraId="6612D16B" w14:textId="4E92E583" w:rsidR="00583C0A" w:rsidRDefault="00375EE7" w:rsidP="00AA5424">
      <w:pPr>
        <w:pStyle w:val="ListParagraph"/>
        <w:numPr>
          <w:ilvl w:val="0"/>
          <w:numId w:val="15"/>
        </w:numPr>
      </w:pPr>
      <w:r w:rsidRPr="61CACD70">
        <w:rPr>
          <w:b/>
          <w:lang w:bidi="fr-FR"/>
        </w:rPr>
        <w:t>Appétit pour le risque ouvert</w:t>
      </w:r>
      <w:r w:rsidRPr="61CACD70">
        <w:rPr>
          <w:lang w:bidi="fr-FR"/>
        </w:rPr>
        <w:t xml:space="preserve"> – domaines dans lesquels le PNUD a déterminé que les avantages potentiels prévalent sur les risques et dans lesquels il est disposé à prendre des risques éclairés. Toutes les possibilités envisageables sont prises en compte.</w:t>
      </w:r>
    </w:p>
    <w:p w14:paraId="45AE63E0" w14:textId="60DB9BD1" w:rsidR="00375EE7" w:rsidRPr="00C7169C" w:rsidRDefault="00375EE7" w:rsidP="00AA5424">
      <w:pPr>
        <w:pStyle w:val="ListParagraph"/>
        <w:numPr>
          <w:ilvl w:val="0"/>
          <w:numId w:val="15"/>
        </w:numPr>
      </w:pPr>
      <w:r>
        <w:rPr>
          <w:b/>
          <w:lang w:bidi="fr-FR"/>
        </w:rPr>
        <w:t>Appétit pour le risque actif</w:t>
      </w:r>
      <w:r>
        <w:rPr>
          <w:lang w:bidi="fr-FR"/>
        </w:rPr>
        <w:t xml:space="preserve"> – domaines dans lesquels le PNUD prend des risques en adoptant de nouvelles idées et approches, en recherchant l</w:t>
      </w:r>
      <w:r w:rsidR="0008241D">
        <w:rPr>
          <w:lang w:bidi="fr-FR"/>
        </w:rPr>
        <w:t>’</w:t>
      </w:r>
      <w:r>
        <w:rPr>
          <w:lang w:bidi="fr-FR"/>
        </w:rPr>
        <w:t>innovation et en reconnaissant que les échecs constituent une opportunité d</w:t>
      </w:r>
      <w:r w:rsidR="0008241D">
        <w:rPr>
          <w:lang w:bidi="fr-FR"/>
        </w:rPr>
        <w:t>’</w:t>
      </w:r>
      <w:r>
        <w:rPr>
          <w:lang w:bidi="fr-FR"/>
        </w:rPr>
        <w:t>apprentissage et d</w:t>
      </w:r>
      <w:r w:rsidR="0008241D">
        <w:rPr>
          <w:lang w:bidi="fr-FR"/>
        </w:rPr>
        <w:t>’</w:t>
      </w:r>
      <w:r>
        <w:rPr>
          <w:lang w:bidi="fr-FR"/>
        </w:rPr>
        <w:t>amélioration.</w:t>
      </w:r>
    </w:p>
    <w:p w14:paraId="66C91A47" w14:textId="0329C13E" w:rsidR="00CA4599" w:rsidRDefault="00FF788E" w:rsidP="00FF788E">
      <w:pPr>
        <w:rPr>
          <w:lang w:bidi="fr-FR"/>
        </w:rPr>
      </w:pPr>
      <w:r>
        <w:rPr>
          <w:lang w:bidi="fr-FR"/>
        </w:rPr>
        <w:t>L</w:t>
      </w:r>
      <w:r w:rsidR="0008241D">
        <w:rPr>
          <w:lang w:bidi="fr-FR"/>
        </w:rPr>
        <w:t>’</w:t>
      </w:r>
      <w:r>
        <w:rPr>
          <w:lang w:bidi="fr-FR"/>
        </w:rPr>
        <w:t>appétit pour le risque couvre huit catégories, fondées sur celles de la GRI ; l</w:t>
      </w:r>
      <w:r w:rsidR="0008241D">
        <w:rPr>
          <w:lang w:bidi="fr-FR"/>
        </w:rPr>
        <w:t>’</w:t>
      </w:r>
      <w:r>
        <w:rPr>
          <w:lang w:bidi="fr-FR"/>
        </w:rPr>
        <w:t>appétit global pour le risque de chacune de ces catégories est donné ci-après. Les orientations décrivent à quoi correspond en pratique l</w:t>
      </w:r>
      <w:r w:rsidR="0008241D">
        <w:rPr>
          <w:lang w:bidi="fr-FR"/>
        </w:rPr>
        <w:t>’</w:t>
      </w:r>
      <w:r>
        <w:rPr>
          <w:lang w:bidi="fr-FR"/>
        </w:rPr>
        <w:t>appétit pour le risque dans chacune de ces catégories, à travers une série d</w:t>
      </w:r>
      <w:r w:rsidR="0008241D">
        <w:rPr>
          <w:lang w:bidi="fr-FR"/>
        </w:rPr>
        <w:t>’</w:t>
      </w:r>
      <w:r>
        <w:rPr>
          <w:lang w:bidi="fr-FR"/>
        </w:rPr>
        <w:t xml:space="preserve">exemples. </w:t>
      </w:r>
    </w:p>
    <w:p w14:paraId="73E71C6C" w14:textId="77777777" w:rsidR="00CA4599" w:rsidRDefault="00CA4599">
      <w:pPr>
        <w:rPr>
          <w:lang w:bidi="fr-FR"/>
        </w:rPr>
      </w:pPr>
      <w:r>
        <w:rPr>
          <w:lang w:bidi="fr-FR"/>
        </w:rPr>
        <w:br w:type="page"/>
      </w:r>
    </w:p>
    <w:p w14:paraId="1F0AFA1C" w14:textId="77777777" w:rsidR="00FF788E" w:rsidRPr="001B7B2B" w:rsidRDefault="00FF788E" w:rsidP="00FF788E"/>
    <w:tbl>
      <w:tblPr>
        <w:tblStyle w:val="ListTable3"/>
        <w:tblW w:w="0" w:type="auto"/>
        <w:tblLook w:val="04A0" w:firstRow="1" w:lastRow="0" w:firstColumn="1" w:lastColumn="0" w:noHBand="0" w:noVBand="1"/>
      </w:tblPr>
      <w:tblGrid>
        <w:gridCol w:w="8029"/>
        <w:gridCol w:w="1321"/>
      </w:tblGrid>
      <w:tr w:rsidR="00CA4599" w14:paraId="42FA7361" w14:textId="77777777" w:rsidTr="008E40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C020AD5" w14:textId="77777777" w:rsidR="00FF788E" w:rsidRDefault="00FF788E" w:rsidP="00FF788E">
            <w:r>
              <w:rPr>
                <w:lang w:bidi="fr-FR"/>
              </w:rPr>
              <w:t>Catégorie de risque</w:t>
            </w:r>
          </w:p>
        </w:tc>
        <w:tc>
          <w:tcPr>
            <w:tcW w:w="0" w:type="auto"/>
          </w:tcPr>
          <w:p w14:paraId="05665C95" w14:textId="77777777" w:rsidR="00FF788E" w:rsidRDefault="00FF788E" w:rsidP="00FF788E">
            <w:pPr>
              <w:cnfStyle w:val="100000000000" w:firstRow="1" w:lastRow="0" w:firstColumn="0" w:lastColumn="0" w:oddVBand="0" w:evenVBand="0" w:oddHBand="0" w:evenHBand="0" w:firstRowFirstColumn="0" w:firstRowLastColumn="0" w:lastRowFirstColumn="0" w:lastRowLastColumn="0"/>
            </w:pPr>
            <w:r>
              <w:rPr>
                <w:lang w:bidi="fr-FR"/>
              </w:rPr>
              <w:t>Appétit global pour le risque</w:t>
            </w:r>
          </w:p>
        </w:tc>
      </w:tr>
      <w:tr w:rsidR="00CA4599" w:rsidRPr="00CA19B6" w14:paraId="1BD49323"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888CB" w14:textId="7BE7391B" w:rsidR="0033654B" w:rsidRDefault="0033654B" w:rsidP="00A26CA2">
            <w:pPr>
              <w:rPr>
                <w:b w:val="0"/>
                <w:bCs w:val="0"/>
              </w:rPr>
            </w:pPr>
            <w:r>
              <w:rPr>
                <w:lang w:bidi="fr-FR"/>
              </w:rPr>
              <w:t>Risque social et environnemental</w:t>
            </w:r>
          </w:p>
          <w:p w14:paraId="7104A531" w14:textId="25D1A2AD" w:rsidR="0033654B" w:rsidRDefault="0033654B" w:rsidP="00A26CA2">
            <w:pPr>
              <w:rPr>
                <w:b w:val="0"/>
                <w:bCs w:val="0"/>
              </w:rPr>
            </w:pPr>
            <w:r>
              <w:rPr>
                <w:b w:val="0"/>
                <w:lang w:bidi="fr-FR"/>
              </w:rPr>
              <w:t>Le PNUD conçoit l</w:t>
            </w:r>
            <w:r w:rsidR="0008241D">
              <w:rPr>
                <w:b w:val="0"/>
                <w:lang w:bidi="fr-FR"/>
              </w:rPr>
              <w:t>’</w:t>
            </w:r>
            <w:r>
              <w:rPr>
                <w:b w:val="0"/>
                <w:lang w:bidi="fr-FR"/>
              </w:rPr>
              <w:t>ensemble de ses activités liées aux projets et aux programmes en veillant à ce qu</w:t>
            </w:r>
            <w:r w:rsidR="0008241D">
              <w:rPr>
                <w:b w:val="0"/>
                <w:lang w:bidi="fr-FR"/>
              </w:rPr>
              <w:t>’</w:t>
            </w:r>
            <w:r>
              <w:rPr>
                <w:b w:val="0"/>
                <w:lang w:bidi="fr-FR"/>
              </w:rPr>
              <w:t>elles protègent les personnes qu</w:t>
            </w:r>
            <w:r w:rsidR="0008241D">
              <w:rPr>
                <w:b w:val="0"/>
                <w:lang w:bidi="fr-FR"/>
              </w:rPr>
              <w:t>’</w:t>
            </w:r>
            <w:r>
              <w:rPr>
                <w:b w:val="0"/>
                <w:lang w:bidi="fr-FR"/>
              </w:rPr>
              <w:t>elles concernent et qu</w:t>
            </w:r>
            <w:r w:rsidR="0008241D">
              <w:rPr>
                <w:b w:val="0"/>
                <w:lang w:bidi="fr-FR"/>
              </w:rPr>
              <w:t>’</w:t>
            </w:r>
            <w:r>
              <w:rPr>
                <w:b w:val="0"/>
                <w:lang w:bidi="fr-FR"/>
              </w:rPr>
              <w:t>elles respectent le principe de ne pas nuire, du point de vue social comme environnemental, en adoptant en toutes circonstances un comportement éthique.</w:t>
            </w:r>
          </w:p>
          <w:p w14:paraId="5A4233A6" w14:textId="16CD5C2A" w:rsidR="0033654B" w:rsidRPr="00C90672" w:rsidRDefault="0033654B" w:rsidP="00A26CA2">
            <w:r>
              <w:rPr>
                <w:b w:val="0"/>
                <w:lang w:bidi="fr-FR"/>
              </w:rPr>
              <w:t xml:space="preserve"> Il met en place des mesures qui favorisent le dialogue avec les groupes défavorisés et ne tolère aucune forme de discrimination ou de harcèlement. Le PNUD atténuera ces risques en s</w:t>
            </w:r>
            <w:r w:rsidR="0008241D">
              <w:rPr>
                <w:b w:val="0"/>
                <w:lang w:bidi="fr-FR"/>
              </w:rPr>
              <w:t>’</w:t>
            </w:r>
            <w:r>
              <w:rPr>
                <w:b w:val="0"/>
                <w:lang w:bidi="fr-FR"/>
              </w:rPr>
              <w:t>assurant que son personnel et ses partenaires ont conscience des contrôles qui doivent être mis en œuvre pour protéger les personnes et l</w:t>
            </w:r>
            <w:r w:rsidR="0008241D">
              <w:rPr>
                <w:b w:val="0"/>
                <w:lang w:bidi="fr-FR"/>
              </w:rPr>
              <w:t>’</w:t>
            </w:r>
            <w:r>
              <w:rPr>
                <w:b w:val="0"/>
                <w:lang w:bidi="fr-FR"/>
              </w:rPr>
              <w:t>environnement, et pour garantir l</w:t>
            </w:r>
            <w:r w:rsidR="0008241D">
              <w:rPr>
                <w:b w:val="0"/>
                <w:lang w:bidi="fr-FR"/>
              </w:rPr>
              <w:t>’</w:t>
            </w:r>
            <w:r>
              <w:rPr>
                <w:b w:val="0"/>
                <w:lang w:bidi="fr-FR"/>
              </w:rPr>
              <w:t>application du principe de ne pas nuire.</w:t>
            </w:r>
          </w:p>
          <w:p w14:paraId="59FA2BC1" w14:textId="24F970B7" w:rsidR="0033654B" w:rsidRPr="00CA4599" w:rsidRDefault="00781B40" w:rsidP="00781B40">
            <w:pPr>
              <w:ind w:right="-869"/>
            </w:pPr>
            <w:r>
              <w:rPr>
                <w:noProof/>
              </w:rPr>
              <w:drawing>
                <wp:inline distT="0" distB="0" distL="0" distR="0" wp14:anchorId="465BAFE1" wp14:editId="508BF754">
                  <wp:extent cx="5038725" cy="514350"/>
                  <wp:effectExtent l="0" t="0" r="9525" b="0"/>
                  <wp:docPr id="1540017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17898" name=""/>
                          <pic:cNvPicPr/>
                        </pic:nvPicPr>
                        <pic:blipFill>
                          <a:blip r:embed="rId14"/>
                          <a:stretch>
                            <a:fillRect/>
                          </a:stretch>
                        </pic:blipFill>
                        <pic:spPr>
                          <a:xfrm>
                            <a:off x="0" y="0"/>
                            <a:ext cx="5038725" cy="514350"/>
                          </a:xfrm>
                          <a:prstGeom prst="rect">
                            <a:avLst/>
                          </a:prstGeom>
                        </pic:spPr>
                      </pic:pic>
                    </a:graphicData>
                  </a:graphic>
                </wp:inline>
              </w:drawing>
            </w:r>
          </w:p>
        </w:tc>
        <w:tc>
          <w:tcPr>
            <w:tcW w:w="0" w:type="auto"/>
          </w:tcPr>
          <w:p w14:paraId="6D6D7955" w14:textId="00590B2F" w:rsidR="0033654B" w:rsidRPr="00CA19B6" w:rsidRDefault="0033654B" w:rsidP="00A26CA2">
            <w:pPr>
              <w:cnfStyle w:val="000000100000" w:firstRow="0" w:lastRow="0" w:firstColumn="0" w:lastColumn="0" w:oddVBand="0" w:evenVBand="0" w:oddHBand="1" w:evenHBand="0" w:firstRowFirstColumn="0" w:firstRowLastColumn="0" w:lastRowFirstColumn="0" w:lastRowLastColumn="0"/>
              <w:rPr>
                <w:b/>
                <w:bCs/>
              </w:rPr>
            </w:pPr>
            <w:r w:rsidRPr="00CA19B6">
              <w:rPr>
                <w:b/>
                <w:lang w:bidi="fr-FR"/>
              </w:rPr>
              <w:t xml:space="preserve">Prudent </w:t>
            </w:r>
          </w:p>
        </w:tc>
      </w:tr>
      <w:tr w:rsidR="00CA4599" w:rsidRPr="00CA19B6" w14:paraId="25A68179"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140297BB" w14:textId="77777777" w:rsidR="00C54868" w:rsidRDefault="00C54868" w:rsidP="00A26CA2">
            <w:pPr>
              <w:rPr>
                <w:b w:val="0"/>
                <w:bCs w:val="0"/>
              </w:rPr>
            </w:pPr>
            <w:r>
              <w:rPr>
                <w:lang w:bidi="fr-FR"/>
              </w:rPr>
              <w:t xml:space="preserve">Risque financier </w:t>
            </w:r>
          </w:p>
          <w:p w14:paraId="428394EF" w14:textId="62FC6963" w:rsidR="00C54868" w:rsidRDefault="00C54868" w:rsidP="00A26CA2">
            <w:r w:rsidRPr="0022322F">
              <w:rPr>
                <w:b w:val="0"/>
                <w:lang w:bidi="fr-FR"/>
              </w:rPr>
              <w:t>Le PNUD cherche à gérer ses ressources financières de manière efficace afin d</w:t>
            </w:r>
            <w:r w:rsidR="0008241D">
              <w:rPr>
                <w:b w:val="0"/>
                <w:lang w:bidi="fr-FR"/>
              </w:rPr>
              <w:t>’</w:t>
            </w:r>
            <w:r w:rsidRPr="0022322F">
              <w:rPr>
                <w:b w:val="0"/>
                <w:lang w:bidi="fr-FR"/>
              </w:rPr>
              <w:t>atteindre ses objectifs dans le respect des délais convenus, tout en assurant la durabilité et la stabilité de l</w:t>
            </w:r>
            <w:r w:rsidR="0008241D">
              <w:rPr>
                <w:b w:val="0"/>
                <w:lang w:bidi="fr-FR"/>
              </w:rPr>
              <w:t>’</w:t>
            </w:r>
            <w:r w:rsidRPr="0022322F">
              <w:rPr>
                <w:b w:val="0"/>
                <w:lang w:bidi="fr-FR"/>
              </w:rPr>
              <w:t>organisation, en minimisant la fraude et en préservant les actifs. Il accepte un certain degré de flexibilité financière dans la réalisation de ses objectifs et lors de la mise en œuvre d</w:t>
            </w:r>
            <w:r w:rsidR="0008241D">
              <w:rPr>
                <w:b w:val="0"/>
                <w:lang w:bidi="fr-FR"/>
              </w:rPr>
              <w:t>’</w:t>
            </w:r>
            <w:r w:rsidRPr="0022322F">
              <w:rPr>
                <w:b w:val="0"/>
                <w:lang w:bidi="fr-FR"/>
              </w:rPr>
              <w:t>activités soutenues par des fonds de développement, mais jamais d</w:t>
            </w:r>
            <w:r w:rsidR="0008241D">
              <w:rPr>
                <w:b w:val="0"/>
                <w:lang w:bidi="fr-FR"/>
              </w:rPr>
              <w:t>’</w:t>
            </w:r>
            <w:r w:rsidRPr="0022322F">
              <w:rPr>
                <w:b w:val="0"/>
                <w:lang w:bidi="fr-FR"/>
              </w:rPr>
              <w:t>une manière qui menace ses activités principales, et sans s</w:t>
            </w:r>
            <w:r w:rsidR="0008241D">
              <w:rPr>
                <w:b w:val="0"/>
                <w:lang w:bidi="fr-FR"/>
              </w:rPr>
              <w:t>’</w:t>
            </w:r>
            <w:r w:rsidRPr="0022322F">
              <w:rPr>
                <w:b w:val="0"/>
                <w:lang w:bidi="fr-FR"/>
              </w:rPr>
              <w:t>écarter des cibles du Plan stratégique. Le PNUD fait preuve de transparence dans toutes ses actions et préserve ses fonds du risque de fraude.</w:t>
            </w:r>
          </w:p>
          <w:p w14:paraId="267C9B15" w14:textId="1065E2FE" w:rsidR="00C54868" w:rsidRPr="00CA4599" w:rsidRDefault="00781B40" w:rsidP="00A26CA2">
            <w:r>
              <w:rPr>
                <w:noProof/>
              </w:rPr>
              <w:drawing>
                <wp:inline distT="0" distB="0" distL="0" distR="0" wp14:anchorId="42B5E5CA" wp14:editId="15DC2E5D">
                  <wp:extent cx="5038725" cy="561975"/>
                  <wp:effectExtent l="0" t="0" r="9525" b="9525"/>
                  <wp:docPr id="147415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57004" name=""/>
                          <pic:cNvPicPr/>
                        </pic:nvPicPr>
                        <pic:blipFill>
                          <a:blip r:embed="rId15"/>
                          <a:stretch>
                            <a:fillRect/>
                          </a:stretch>
                        </pic:blipFill>
                        <pic:spPr>
                          <a:xfrm>
                            <a:off x="0" y="0"/>
                            <a:ext cx="5038725" cy="561975"/>
                          </a:xfrm>
                          <a:prstGeom prst="rect">
                            <a:avLst/>
                          </a:prstGeom>
                        </pic:spPr>
                      </pic:pic>
                    </a:graphicData>
                  </a:graphic>
                </wp:inline>
              </w:drawing>
            </w:r>
          </w:p>
        </w:tc>
        <w:tc>
          <w:tcPr>
            <w:tcW w:w="0" w:type="auto"/>
          </w:tcPr>
          <w:p w14:paraId="15562A6E" w14:textId="77777777" w:rsidR="00C54868" w:rsidRPr="00CA19B6" w:rsidRDefault="00C54868" w:rsidP="00A26CA2">
            <w:pPr>
              <w:cnfStyle w:val="000000000000" w:firstRow="0" w:lastRow="0" w:firstColumn="0" w:lastColumn="0" w:oddVBand="0" w:evenVBand="0" w:oddHBand="0" w:evenHBand="0" w:firstRowFirstColumn="0" w:firstRowLastColumn="0" w:lastRowFirstColumn="0" w:lastRowLastColumn="0"/>
              <w:rPr>
                <w:b/>
                <w:bCs/>
              </w:rPr>
            </w:pPr>
            <w:r w:rsidRPr="00CA19B6">
              <w:rPr>
                <w:b/>
                <w:lang w:bidi="fr-FR"/>
              </w:rPr>
              <w:t xml:space="preserve">Minimum à prudent </w:t>
            </w:r>
          </w:p>
        </w:tc>
      </w:tr>
      <w:tr w:rsidR="00CA4599" w:rsidRPr="00871D0E" w14:paraId="5591984D" w14:textId="77777777" w:rsidTr="00A26CA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7A003717" w14:textId="77777777" w:rsidR="00C54868" w:rsidRDefault="00C54868" w:rsidP="00A26CA2">
            <w:pPr>
              <w:rPr>
                <w:b w:val="0"/>
                <w:bCs w:val="0"/>
              </w:rPr>
            </w:pPr>
            <w:r>
              <w:rPr>
                <w:lang w:bidi="fr-FR"/>
              </w:rPr>
              <w:t>Risque opérationnel</w:t>
            </w:r>
          </w:p>
          <w:p w14:paraId="754E7546" w14:textId="1CE107BA" w:rsidR="00C54868" w:rsidRDefault="00C54868" w:rsidP="00A26CA2">
            <w:r>
              <w:rPr>
                <w:b w:val="0"/>
                <w:lang w:bidi="fr-FR"/>
              </w:rPr>
              <w:t>Le PNUD encourage une exécution et une qualité opérationnelles variables afin de se donner la possibilité d</w:t>
            </w:r>
            <w:r w:rsidR="0008241D">
              <w:rPr>
                <w:b w:val="0"/>
                <w:lang w:bidi="fr-FR"/>
              </w:rPr>
              <w:t>’</w:t>
            </w:r>
            <w:r>
              <w:rPr>
                <w:b w:val="0"/>
                <w:lang w:bidi="fr-FR"/>
              </w:rPr>
              <w:t>évaluer des approches innovantes et de collaborer avec de nouveaux partenaires, à condition que cela ne mette pas en péril la confiance des parties prenantes. Le PNUD continue de recourir à des outils opérationnels, des méthodes d</w:t>
            </w:r>
            <w:r w:rsidR="0008241D">
              <w:rPr>
                <w:b w:val="0"/>
                <w:lang w:bidi="fr-FR"/>
              </w:rPr>
              <w:t>’</w:t>
            </w:r>
            <w:r>
              <w:rPr>
                <w:b w:val="0"/>
                <w:lang w:bidi="fr-FR"/>
              </w:rPr>
              <w:t>achats, des procédures et des mécanismes nouveaux et innovants afin de renforcer les processus d</w:t>
            </w:r>
            <w:r w:rsidR="0008241D">
              <w:rPr>
                <w:b w:val="0"/>
                <w:lang w:bidi="fr-FR"/>
              </w:rPr>
              <w:t>’</w:t>
            </w:r>
            <w:r>
              <w:rPr>
                <w:b w:val="0"/>
                <w:lang w:bidi="fr-FR"/>
              </w:rPr>
              <w:t>exécution, la continuité des opérations et les conditions de mise en œuvre des programmes. Il considère l</w:t>
            </w:r>
            <w:r w:rsidR="0008241D">
              <w:rPr>
                <w:b w:val="0"/>
                <w:lang w:bidi="fr-FR"/>
              </w:rPr>
              <w:t>’</w:t>
            </w:r>
            <w:r>
              <w:rPr>
                <w:b w:val="0"/>
                <w:lang w:bidi="fr-FR"/>
              </w:rPr>
              <w:t>échec comme une opportunité d</w:t>
            </w:r>
            <w:r w:rsidR="0008241D">
              <w:rPr>
                <w:b w:val="0"/>
                <w:lang w:bidi="fr-FR"/>
              </w:rPr>
              <w:t>’</w:t>
            </w:r>
            <w:r>
              <w:rPr>
                <w:b w:val="0"/>
                <w:lang w:bidi="fr-FR"/>
              </w:rPr>
              <w:t>apprendre et d</w:t>
            </w:r>
            <w:r w:rsidR="0008241D">
              <w:rPr>
                <w:b w:val="0"/>
                <w:lang w:bidi="fr-FR"/>
              </w:rPr>
              <w:t>’</w:t>
            </w:r>
            <w:r>
              <w:rPr>
                <w:b w:val="0"/>
                <w:lang w:bidi="fr-FR"/>
              </w:rPr>
              <w:t>évoluer.</w:t>
            </w:r>
          </w:p>
          <w:p w14:paraId="7465FABE" w14:textId="043A3E39" w:rsidR="00C54868" w:rsidRPr="00CA4599" w:rsidRDefault="00781B40" w:rsidP="00A26CA2">
            <w:r>
              <w:rPr>
                <w:noProof/>
              </w:rPr>
              <w:drawing>
                <wp:inline distT="0" distB="0" distL="0" distR="0" wp14:anchorId="7C3FCD03" wp14:editId="64C62743">
                  <wp:extent cx="4981575" cy="495300"/>
                  <wp:effectExtent l="0" t="0" r="9525" b="0"/>
                  <wp:docPr id="333991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91538" name=""/>
                          <pic:cNvPicPr/>
                        </pic:nvPicPr>
                        <pic:blipFill>
                          <a:blip r:embed="rId16"/>
                          <a:stretch>
                            <a:fillRect/>
                          </a:stretch>
                        </pic:blipFill>
                        <pic:spPr>
                          <a:xfrm>
                            <a:off x="0" y="0"/>
                            <a:ext cx="4981575" cy="495300"/>
                          </a:xfrm>
                          <a:prstGeom prst="rect">
                            <a:avLst/>
                          </a:prstGeom>
                        </pic:spPr>
                      </pic:pic>
                    </a:graphicData>
                  </a:graphic>
                </wp:inline>
              </w:drawing>
            </w:r>
          </w:p>
        </w:tc>
        <w:tc>
          <w:tcPr>
            <w:tcW w:w="0" w:type="auto"/>
          </w:tcPr>
          <w:p w14:paraId="075150B3" w14:textId="77777777" w:rsidR="00C54868" w:rsidRPr="00871D0E" w:rsidRDefault="00C54868" w:rsidP="00CA4599">
            <w:pPr>
              <w:ind w:right="-115"/>
              <w:cnfStyle w:val="000000100000" w:firstRow="0" w:lastRow="0" w:firstColumn="0" w:lastColumn="0" w:oddVBand="0" w:evenVBand="0" w:oddHBand="1" w:evenHBand="0" w:firstRowFirstColumn="0" w:firstRowLastColumn="0" w:lastRowFirstColumn="0" w:lastRowLastColumn="0"/>
              <w:rPr>
                <w:b/>
                <w:bCs/>
              </w:rPr>
            </w:pPr>
            <w:r w:rsidRPr="00871D0E">
              <w:rPr>
                <w:b/>
                <w:lang w:bidi="fr-FR"/>
              </w:rPr>
              <w:t>Exploratoire à ouvert</w:t>
            </w:r>
          </w:p>
        </w:tc>
      </w:tr>
    </w:tbl>
    <w:p w14:paraId="774C55F0" w14:textId="77777777" w:rsidR="00CA4599" w:rsidRDefault="00CA4599">
      <w:r>
        <w:rPr>
          <w:b/>
          <w:bCs/>
        </w:rPr>
        <w:br w:type="page"/>
      </w:r>
    </w:p>
    <w:tbl>
      <w:tblPr>
        <w:tblStyle w:val="ListTable3"/>
        <w:tblW w:w="0" w:type="auto"/>
        <w:tblLook w:val="04A0" w:firstRow="1" w:lastRow="0" w:firstColumn="1" w:lastColumn="0" w:noHBand="0" w:noVBand="1"/>
      </w:tblPr>
      <w:tblGrid>
        <w:gridCol w:w="8029"/>
        <w:gridCol w:w="1321"/>
      </w:tblGrid>
      <w:tr w:rsidR="00CA4599" w:rsidRPr="00871D0E" w14:paraId="4C71A550" w14:textId="77777777" w:rsidTr="00CA45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FFFFFF" w:themeFill="background1"/>
          </w:tcPr>
          <w:p w14:paraId="7EB2C9F0" w14:textId="6AB9DC7B" w:rsidR="00F70BA0" w:rsidRPr="00CA4599" w:rsidRDefault="00F70BA0" w:rsidP="00A26CA2">
            <w:pPr>
              <w:rPr>
                <w:b w:val="0"/>
                <w:bCs w:val="0"/>
                <w:color w:val="auto"/>
              </w:rPr>
            </w:pPr>
            <w:r w:rsidRPr="00CA4599">
              <w:rPr>
                <w:color w:val="auto"/>
                <w:lang w:bidi="fr-FR"/>
              </w:rPr>
              <w:lastRenderedPageBreak/>
              <w:t>Risque institutionnel</w:t>
            </w:r>
          </w:p>
          <w:p w14:paraId="2BFA017D" w14:textId="19F82258" w:rsidR="00F70BA0" w:rsidRPr="00CA4599" w:rsidRDefault="00F70BA0" w:rsidP="00A26CA2">
            <w:pPr>
              <w:rPr>
                <w:color w:val="auto"/>
              </w:rPr>
            </w:pPr>
            <w:r w:rsidRPr="00CA4599">
              <w:rPr>
                <w:b w:val="0"/>
                <w:color w:val="auto"/>
                <w:lang w:bidi="fr-FR"/>
              </w:rPr>
              <w:t>Le PNUD adopte une approche agile afin de rester pertinent dans tous ses domaines d</w:t>
            </w:r>
            <w:r w:rsidR="0008241D" w:rsidRPr="00CA4599">
              <w:rPr>
                <w:b w:val="0"/>
                <w:color w:val="auto"/>
                <w:lang w:bidi="fr-FR"/>
              </w:rPr>
              <w:t>’</w:t>
            </w:r>
            <w:r w:rsidRPr="00CA4599">
              <w:rPr>
                <w:b w:val="0"/>
                <w:color w:val="auto"/>
                <w:lang w:bidi="fr-FR"/>
              </w:rPr>
              <w:t>intervention, et prend des risques éclairés afin d</w:t>
            </w:r>
            <w:r w:rsidR="0008241D" w:rsidRPr="00CA4599">
              <w:rPr>
                <w:b w:val="0"/>
                <w:color w:val="auto"/>
                <w:lang w:bidi="fr-FR"/>
              </w:rPr>
              <w:t>’</w:t>
            </w:r>
            <w:r w:rsidRPr="00CA4599">
              <w:rPr>
                <w:b w:val="0"/>
                <w:color w:val="auto"/>
                <w:lang w:bidi="fr-FR"/>
              </w:rPr>
              <w:t>assurer l</w:t>
            </w:r>
            <w:r w:rsidR="0008241D" w:rsidRPr="00CA4599">
              <w:rPr>
                <w:b w:val="0"/>
                <w:color w:val="auto"/>
                <w:lang w:bidi="fr-FR"/>
              </w:rPr>
              <w:t>’</w:t>
            </w:r>
            <w:r w:rsidRPr="00CA4599">
              <w:rPr>
                <w:b w:val="0"/>
                <w:color w:val="auto"/>
                <w:lang w:bidi="fr-FR"/>
              </w:rPr>
              <w:t>efficacité, l</w:t>
            </w:r>
            <w:r w:rsidR="0008241D" w:rsidRPr="00CA4599">
              <w:rPr>
                <w:b w:val="0"/>
                <w:color w:val="auto"/>
                <w:lang w:bidi="fr-FR"/>
              </w:rPr>
              <w:t>’</w:t>
            </w:r>
            <w:r w:rsidRPr="00CA4599">
              <w:rPr>
                <w:b w:val="0"/>
                <w:color w:val="auto"/>
                <w:lang w:bidi="fr-FR"/>
              </w:rPr>
              <w:t>agilité, l</w:t>
            </w:r>
            <w:r w:rsidR="0008241D" w:rsidRPr="00CA4599">
              <w:rPr>
                <w:b w:val="0"/>
                <w:color w:val="auto"/>
                <w:lang w:bidi="fr-FR"/>
              </w:rPr>
              <w:t>’</w:t>
            </w:r>
            <w:r w:rsidRPr="00CA4599">
              <w:rPr>
                <w:b w:val="0"/>
                <w:color w:val="auto"/>
                <w:lang w:bidi="fr-FR"/>
              </w:rPr>
              <w:t>apprentissage et la résilience de l</w:t>
            </w:r>
            <w:r w:rsidR="0008241D" w:rsidRPr="00CA4599">
              <w:rPr>
                <w:b w:val="0"/>
                <w:color w:val="auto"/>
                <w:lang w:bidi="fr-FR"/>
              </w:rPr>
              <w:t>’</w:t>
            </w:r>
            <w:r w:rsidRPr="00CA4599">
              <w:rPr>
                <w:b w:val="0"/>
                <w:color w:val="auto"/>
                <w:lang w:bidi="fr-FR"/>
              </w:rPr>
              <w:t xml:space="preserve">organisation. Il veille au respect des règles et des politiques institutionnelles en matière de gouvernance et de ses normes éthiques, tout en explorant continuellement de nouvelles manières innovantes de mener ses activités afin de répondre à ses objectifs. </w:t>
            </w:r>
          </w:p>
          <w:p w14:paraId="007D1DB6" w14:textId="5233D0CB" w:rsidR="00F70BA0" w:rsidRPr="00CA4599" w:rsidRDefault="00781B40" w:rsidP="00A26CA2">
            <w:pPr>
              <w:rPr>
                <w:b w:val="0"/>
                <w:bCs w:val="0"/>
                <w:color w:val="auto"/>
              </w:rPr>
            </w:pPr>
            <w:r w:rsidRPr="00CA4599">
              <w:rPr>
                <w:noProof/>
              </w:rPr>
              <w:drawing>
                <wp:inline distT="0" distB="0" distL="0" distR="0" wp14:anchorId="015F7340" wp14:editId="3E1E76D5">
                  <wp:extent cx="5000625" cy="514350"/>
                  <wp:effectExtent l="0" t="0" r="9525" b="0"/>
                  <wp:docPr id="867292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92240" name=""/>
                          <pic:cNvPicPr/>
                        </pic:nvPicPr>
                        <pic:blipFill>
                          <a:blip r:embed="rId16"/>
                          <a:stretch>
                            <a:fillRect/>
                          </a:stretch>
                        </pic:blipFill>
                        <pic:spPr>
                          <a:xfrm>
                            <a:off x="0" y="0"/>
                            <a:ext cx="5000625" cy="514350"/>
                          </a:xfrm>
                          <a:prstGeom prst="rect">
                            <a:avLst/>
                          </a:prstGeom>
                        </pic:spPr>
                      </pic:pic>
                    </a:graphicData>
                  </a:graphic>
                </wp:inline>
              </w:drawing>
            </w:r>
          </w:p>
        </w:tc>
        <w:tc>
          <w:tcPr>
            <w:tcW w:w="0" w:type="auto"/>
            <w:shd w:val="clear" w:color="auto" w:fill="FFFFFF" w:themeFill="background1"/>
          </w:tcPr>
          <w:p w14:paraId="5AE98A76" w14:textId="77777777" w:rsidR="00F70BA0" w:rsidRPr="00CA4599" w:rsidRDefault="00F70BA0" w:rsidP="00CA4599">
            <w:pPr>
              <w:ind w:right="-115"/>
              <w:cnfStyle w:val="100000000000" w:firstRow="1" w:lastRow="0" w:firstColumn="0" w:lastColumn="0" w:oddVBand="0" w:evenVBand="0" w:oddHBand="0" w:evenHBand="0" w:firstRowFirstColumn="0" w:firstRowLastColumn="0" w:lastRowFirstColumn="0" w:lastRowLastColumn="0"/>
              <w:rPr>
                <w:b w:val="0"/>
                <w:bCs w:val="0"/>
                <w:color w:val="auto"/>
              </w:rPr>
            </w:pPr>
            <w:r w:rsidRPr="00CA4599">
              <w:rPr>
                <w:color w:val="auto"/>
                <w:lang w:bidi="fr-FR"/>
              </w:rPr>
              <w:t>Exploratoire à ouvert</w:t>
            </w:r>
          </w:p>
        </w:tc>
      </w:tr>
      <w:tr w:rsidR="00CA4599" w:rsidRPr="00871D0E" w14:paraId="31CBC574"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487A6F" w14:textId="7519DDAE" w:rsidR="00F70BA0" w:rsidRDefault="00F70BA0" w:rsidP="00A26CA2">
            <w:pPr>
              <w:rPr>
                <w:b w:val="0"/>
                <w:bCs w:val="0"/>
              </w:rPr>
            </w:pPr>
            <w:r>
              <w:rPr>
                <w:lang w:bidi="fr-FR"/>
              </w:rPr>
              <w:t>Risque de réputation</w:t>
            </w:r>
          </w:p>
          <w:p w14:paraId="728DC073" w14:textId="321DACBA" w:rsidR="00F70BA0" w:rsidRDefault="00F70BA0" w:rsidP="00A26CA2">
            <w:r w:rsidRPr="001F63F9">
              <w:rPr>
                <w:b w:val="0"/>
                <w:lang w:bidi="fr-FR"/>
              </w:rPr>
              <w:t>Le PNUD est une organisation hautement fiable et estimée, qui ne peut se permettre que les différentes parties prenantes (gouvernements, donateurs, partenaires d</w:t>
            </w:r>
            <w:r w:rsidR="0008241D">
              <w:rPr>
                <w:b w:val="0"/>
                <w:lang w:bidi="fr-FR"/>
              </w:rPr>
              <w:t>’</w:t>
            </w:r>
            <w:r w:rsidRPr="001F63F9">
              <w:rPr>
                <w:b w:val="0"/>
                <w:lang w:bidi="fr-FR"/>
              </w:rPr>
              <w:t>exécution, secteur privé, société civile, bénéficiaires, etc.) puissent remettre en question son éthique, sa crédibilité ou sa réputation. Le PNUD entend protéger son image institutionnelle et sa réputation en conduisant ses programmes de manière efficace et innovante, en tenant ses engagements, en procédant aux analyses préalables appropriées, en établissant des partenariats et en gérant les attentes, tout en explorant de nouvelles possibilités d</w:t>
            </w:r>
            <w:r w:rsidR="0008241D">
              <w:rPr>
                <w:b w:val="0"/>
                <w:lang w:bidi="fr-FR"/>
              </w:rPr>
              <w:t>’</w:t>
            </w:r>
            <w:r w:rsidRPr="001F63F9">
              <w:rPr>
                <w:b w:val="0"/>
                <w:lang w:bidi="fr-FR"/>
              </w:rPr>
              <w:t>exécution et de collaboration, ainsi qu</w:t>
            </w:r>
            <w:r w:rsidR="0008241D">
              <w:rPr>
                <w:b w:val="0"/>
                <w:lang w:bidi="fr-FR"/>
              </w:rPr>
              <w:t>’</w:t>
            </w:r>
            <w:r w:rsidRPr="001F63F9">
              <w:rPr>
                <w:b w:val="0"/>
                <w:lang w:bidi="fr-FR"/>
              </w:rPr>
              <w:t>en tirant parti des enseignements de ses projets pilotes.</w:t>
            </w:r>
          </w:p>
          <w:p w14:paraId="2F98FA5A" w14:textId="28DDCC39" w:rsidR="00F70BA0" w:rsidRPr="001F63F9" w:rsidRDefault="00781B40" w:rsidP="00A26CA2">
            <w:pPr>
              <w:rPr>
                <w:b w:val="0"/>
                <w:bCs w:val="0"/>
              </w:rPr>
            </w:pPr>
            <w:r>
              <w:rPr>
                <w:noProof/>
              </w:rPr>
              <w:drawing>
                <wp:inline distT="0" distB="0" distL="0" distR="0" wp14:anchorId="0EAA7FD1" wp14:editId="3DF633CB">
                  <wp:extent cx="5038725" cy="514350"/>
                  <wp:effectExtent l="0" t="0" r="9525" b="0"/>
                  <wp:docPr id="1723934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17898" name=""/>
                          <pic:cNvPicPr/>
                        </pic:nvPicPr>
                        <pic:blipFill>
                          <a:blip r:embed="rId14"/>
                          <a:stretch>
                            <a:fillRect/>
                          </a:stretch>
                        </pic:blipFill>
                        <pic:spPr>
                          <a:xfrm>
                            <a:off x="0" y="0"/>
                            <a:ext cx="5038725" cy="514350"/>
                          </a:xfrm>
                          <a:prstGeom prst="rect">
                            <a:avLst/>
                          </a:prstGeom>
                        </pic:spPr>
                      </pic:pic>
                    </a:graphicData>
                  </a:graphic>
                </wp:inline>
              </w:drawing>
            </w:r>
          </w:p>
        </w:tc>
        <w:tc>
          <w:tcPr>
            <w:tcW w:w="0" w:type="auto"/>
          </w:tcPr>
          <w:p w14:paraId="1AC92637" w14:textId="77777777" w:rsidR="00F70BA0" w:rsidRPr="00871D0E" w:rsidRDefault="00F70BA0" w:rsidP="00A26CA2">
            <w:pPr>
              <w:cnfStyle w:val="000000100000" w:firstRow="0" w:lastRow="0" w:firstColumn="0" w:lastColumn="0" w:oddVBand="0" w:evenVBand="0" w:oddHBand="1" w:evenHBand="0" w:firstRowFirstColumn="0" w:firstRowLastColumn="0" w:lastRowFirstColumn="0" w:lastRowLastColumn="0"/>
              <w:rPr>
                <w:b/>
                <w:bCs/>
              </w:rPr>
            </w:pPr>
            <w:r w:rsidRPr="00871D0E">
              <w:rPr>
                <w:b/>
                <w:lang w:bidi="fr-FR"/>
              </w:rPr>
              <w:t xml:space="preserve">Prudent </w:t>
            </w:r>
          </w:p>
        </w:tc>
      </w:tr>
      <w:tr w:rsidR="00CA4599" w:rsidRPr="00CA19B6" w14:paraId="78417F38"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4E001FE2" w14:textId="77777777" w:rsidR="00737A4A" w:rsidRDefault="00737A4A" w:rsidP="00A26CA2">
            <w:pPr>
              <w:rPr>
                <w:b w:val="0"/>
                <w:bCs w:val="0"/>
              </w:rPr>
            </w:pPr>
            <w:r>
              <w:rPr>
                <w:lang w:bidi="fr-FR"/>
              </w:rPr>
              <w:t>Risque réglementaire</w:t>
            </w:r>
          </w:p>
          <w:p w14:paraId="75D41251" w14:textId="16E879E0" w:rsidR="00737A4A" w:rsidRDefault="00737A4A" w:rsidP="00A26CA2">
            <w:r>
              <w:rPr>
                <w:b w:val="0"/>
                <w:lang w:bidi="fr-FR"/>
              </w:rPr>
              <w:t>Le PNUD concrétisera ses objectifs stratégiques en usant de moyens respectueux des exigences juridiques et réglementaires, y compris en adhérant aux interprétations des règlements d</w:t>
            </w:r>
            <w:r w:rsidR="0008241D">
              <w:rPr>
                <w:b w:val="0"/>
                <w:lang w:bidi="fr-FR"/>
              </w:rPr>
              <w:t>’</w:t>
            </w:r>
            <w:r>
              <w:rPr>
                <w:b w:val="0"/>
                <w:lang w:bidi="fr-FR"/>
              </w:rPr>
              <w:t>autres organismes des Nations Unies dotés de cadres réglementaires similaires.</w:t>
            </w:r>
          </w:p>
          <w:p w14:paraId="632B38B5" w14:textId="5FF05D54" w:rsidR="00737A4A" w:rsidRPr="00CA4599" w:rsidRDefault="00781B40" w:rsidP="00A26CA2">
            <w:r>
              <w:rPr>
                <w:noProof/>
              </w:rPr>
              <w:drawing>
                <wp:inline distT="0" distB="0" distL="0" distR="0" wp14:anchorId="78ADB52B" wp14:editId="3B0C3B24">
                  <wp:extent cx="5038725" cy="514350"/>
                  <wp:effectExtent l="0" t="0" r="9525" b="0"/>
                  <wp:docPr id="467510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17898" name=""/>
                          <pic:cNvPicPr/>
                        </pic:nvPicPr>
                        <pic:blipFill>
                          <a:blip r:embed="rId14"/>
                          <a:stretch>
                            <a:fillRect/>
                          </a:stretch>
                        </pic:blipFill>
                        <pic:spPr>
                          <a:xfrm>
                            <a:off x="0" y="0"/>
                            <a:ext cx="5038725" cy="514350"/>
                          </a:xfrm>
                          <a:prstGeom prst="rect">
                            <a:avLst/>
                          </a:prstGeom>
                        </pic:spPr>
                      </pic:pic>
                    </a:graphicData>
                  </a:graphic>
                </wp:inline>
              </w:drawing>
            </w:r>
          </w:p>
        </w:tc>
        <w:tc>
          <w:tcPr>
            <w:tcW w:w="0" w:type="auto"/>
          </w:tcPr>
          <w:p w14:paraId="0C2B6800" w14:textId="4DEC5BDE" w:rsidR="00737A4A" w:rsidRPr="00CA19B6" w:rsidRDefault="00737A4A" w:rsidP="00A26CA2">
            <w:pPr>
              <w:cnfStyle w:val="000000000000" w:firstRow="0" w:lastRow="0" w:firstColumn="0" w:lastColumn="0" w:oddVBand="0" w:evenVBand="0" w:oddHBand="0" w:evenHBand="0" w:firstRowFirstColumn="0" w:firstRowLastColumn="0" w:lastRowFirstColumn="0" w:lastRowLastColumn="0"/>
              <w:rPr>
                <w:b/>
                <w:bCs/>
              </w:rPr>
            </w:pPr>
            <w:r w:rsidRPr="00CA19B6">
              <w:rPr>
                <w:b/>
                <w:lang w:bidi="fr-FR"/>
              </w:rPr>
              <w:t>Prudent</w:t>
            </w:r>
          </w:p>
        </w:tc>
      </w:tr>
      <w:tr w:rsidR="00CA4599" w14:paraId="119D7EB5" w14:textId="77777777" w:rsidTr="00CA4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80C46" w14:textId="77777777" w:rsidR="0033654B" w:rsidRDefault="0033654B" w:rsidP="0033654B">
            <w:pPr>
              <w:rPr>
                <w:b w:val="0"/>
                <w:bCs w:val="0"/>
              </w:rPr>
            </w:pPr>
            <w:r>
              <w:rPr>
                <w:lang w:bidi="fr-FR"/>
              </w:rPr>
              <w:t>Risque stratégique</w:t>
            </w:r>
          </w:p>
          <w:p w14:paraId="11CB9513" w14:textId="2B9298F4" w:rsidR="0033654B" w:rsidRDefault="0033654B" w:rsidP="0033654B">
            <w:pPr>
              <w:rPr>
                <w:b w:val="0"/>
                <w:bCs w:val="0"/>
              </w:rPr>
            </w:pPr>
            <w:r>
              <w:rPr>
                <w:b w:val="0"/>
                <w:lang w:bidi="fr-FR"/>
              </w:rPr>
              <w:t>Le PNUD donne la priorité à l</w:t>
            </w:r>
            <w:r w:rsidR="0008241D">
              <w:rPr>
                <w:b w:val="0"/>
                <w:lang w:bidi="fr-FR"/>
              </w:rPr>
              <w:t>’</w:t>
            </w:r>
            <w:r>
              <w:rPr>
                <w:b w:val="0"/>
                <w:lang w:bidi="fr-FR"/>
              </w:rPr>
              <w:t>élaboration et à la mise en œuvre de sa stratégie, en recherchant des manières nouvelles et innovantes de fournir ses services à forte valeur ajoutée et de réaliser ses programmes et ses objectifs, ainsi qu</w:t>
            </w:r>
            <w:r w:rsidR="0008241D">
              <w:rPr>
                <w:b w:val="0"/>
                <w:lang w:bidi="fr-FR"/>
              </w:rPr>
              <w:t>’</w:t>
            </w:r>
            <w:r>
              <w:rPr>
                <w:b w:val="0"/>
                <w:lang w:bidi="fr-FR"/>
              </w:rPr>
              <w:t>en élargissant et en diversifiant la liste de ses donateurs et partenaires, tout en tirant des enseignements de chaque échec et sans jamais se départir de ses principes éthiques.</w:t>
            </w:r>
          </w:p>
          <w:p w14:paraId="2945B0F8" w14:textId="23394951" w:rsidR="0033654B" w:rsidRPr="00CA4599" w:rsidRDefault="00CA4599" w:rsidP="0033654B">
            <w:pPr>
              <w:rPr>
                <w:b w:val="0"/>
                <w:bCs w:val="0"/>
              </w:rPr>
            </w:pPr>
            <w:r>
              <w:rPr>
                <w:noProof/>
              </w:rPr>
              <w:drawing>
                <wp:inline distT="0" distB="0" distL="0" distR="0" wp14:anchorId="0FAD11C3" wp14:editId="35019AE3">
                  <wp:extent cx="4981575" cy="485775"/>
                  <wp:effectExtent l="0" t="0" r="9525" b="9525"/>
                  <wp:docPr id="26301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16593" name=""/>
                          <pic:cNvPicPr/>
                        </pic:nvPicPr>
                        <pic:blipFill>
                          <a:blip r:embed="rId17"/>
                          <a:stretch>
                            <a:fillRect/>
                          </a:stretch>
                        </pic:blipFill>
                        <pic:spPr>
                          <a:xfrm>
                            <a:off x="0" y="0"/>
                            <a:ext cx="4981575" cy="485775"/>
                          </a:xfrm>
                          <a:prstGeom prst="rect">
                            <a:avLst/>
                          </a:prstGeom>
                        </pic:spPr>
                      </pic:pic>
                    </a:graphicData>
                  </a:graphic>
                </wp:inline>
              </w:drawing>
            </w:r>
          </w:p>
        </w:tc>
        <w:tc>
          <w:tcPr>
            <w:tcW w:w="0" w:type="auto"/>
            <w:shd w:val="clear" w:color="auto" w:fill="FFFFFF" w:themeFill="background1"/>
          </w:tcPr>
          <w:p w14:paraId="71A2E7A4" w14:textId="4236CCF4" w:rsidR="0033654B" w:rsidRPr="00871D0E" w:rsidRDefault="0033654B" w:rsidP="0033654B">
            <w:pPr>
              <w:cnfStyle w:val="000000100000" w:firstRow="0" w:lastRow="0" w:firstColumn="0" w:lastColumn="0" w:oddVBand="0" w:evenVBand="0" w:oddHBand="1" w:evenHBand="0" w:firstRowFirstColumn="0" w:firstRowLastColumn="0" w:lastRowFirstColumn="0" w:lastRowLastColumn="0"/>
              <w:rPr>
                <w:b/>
                <w:bCs/>
              </w:rPr>
            </w:pPr>
            <w:r w:rsidRPr="00871D0E">
              <w:rPr>
                <w:b/>
                <w:lang w:bidi="fr-FR"/>
              </w:rPr>
              <w:t>Ouvert à actif</w:t>
            </w:r>
          </w:p>
        </w:tc>
      </w:tr>
    </w:tbl>
    <w:p w14:paraId="44B18C15" w14:textId="77777777" w:rsidR="00CA4599" w:rsidRDefault="00CA4599">
      <w:r>
        <w:rPr>
          <w:b/>
          <w:bCs/>
        </w:rPr>
        <w:br w:type="page"/>
      </w:r>
    </w:p>
    <w:tbl>
      <w:tblPr>
        <w:tblStyle w:val="ListTable3"/>
        <w:tblW w:w="0" w:type="auto"/>
        <w:tblLook w:val="04A0" w:firstRow="1" w:lastRow="0" w:firstColumn="1" w:lastColumn="0" w:noHBand="0" w:noVBand="1"/>
      </w:tblPr>
      <w:tblGrid>
        <w:gridCol w:w="8397"/>
        <w:gridCol w:w="953"/>
      </w:tblGrid>
      <w:tr w:rsidR="00CA4599" w14:paraId="114AD60A" w14:textId="77777777" w:rsidTr="00CA45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FFFFFF" w:themeFill="background1"/>
          </w:tcPr>
          <w:p w14:paraId="020F75E0" w14:textId="295BE01D" w:rsidR="0033654B" w:rsidRPr="00CA4599" w:rsidRDefault="0033654B" w:rsidP="0033654B">
            <w:pPr>
              <w:rPr>
                <w:b w:val="0"/>
                <w:bCs w:val="0"/>
                <w:color w:val="auto"/>
              </w:rPr>
            </w:pPr>
            <w:r w:rsidRPr="00CA4599">
              <w:rPr>
                <w:color w:val="auto"/>
                <w:lang w:bidi="fr-FR"/>
              </w:rPr>
              <w:lastRenderedPageBreak/>
              <w:t>Risque de sécurité</w:t>
            </w:r>
          </w:p>
          <w:p w14:paraId="58B8A298" w14:textId="25E18B3E" w:rsidR="0033654B" w:rsidRPr="00CA4599" w:rsidRDefault="0033654B" w:rsidP="0033654B">
            <w:pPr>
              <w:rPr>
                <w:b w:val="0"/>
                <w:bCs w:val="0"/>
                <w:color w:val="auto"/>
              </w:rPr>
            </w:pPr>
            <w:r w:rsidRPr="00CA4599">
              <w:rPr>
                <w:b w:val="0"/>
                <w:color w:val="auto"/>
                <w:lang w:bidi="fr-FR"/>
              </w:rPr>
              <w:t>Afin de permettre l</w:t>
            </w:r>
            <w:r w:rsidR="0008241D" w:rsidRPr="00CA4599">
              <w:rPr>
                <w:b w:val="0"/>
                <w:color w:val="auto"/>
                <w:lang w:bidi="fr-FR"/>
              </w:rPr>
              <w:t>’</w:t>
            </w:r>
            <w:r w:rsidRPr="00CA4599">
              <w:rPr>
                <w:b w:val="0"/>
                <w:color w:val="auto"/>
                <w:lang w:bidi="fr-FR"/>
              </w:rPr>
              <w:t>exécution de ses activités, le PNUD met en place des mesures efficaces pour réduire les risques sécuritaires auxquels son personnel, ses locaux, ses actifs et ses opérations pourraient être exposés. Dans les situations de risque élevé, le PNUD poursuivra ses activités programmatiques en appliquant les mesures d</w:t>
            </w:r>
            <w:r w:rsidR="0008241D" w:rsidRPr="00CA4599">
              <w:rPr>
                <w:b w:val="0"/>
                <w:color w:val="auto"/>
                <w:lang w:bidi="fr-FR"/>
              </w:rPr>
              <w:t>’</w:t>
            </w:r>
            <w:r w:rsidRPr="00CA4599">
              <w:rPr>
                <w:b w:val="0"/>
                <w:color w:val="auto"/>
                <w:lang w:bidi="fr-FR"/>
              </w:rPr>
              <w:t>atténuation et de contrôle adaptées qui auront été validées. Le PNUD prendra les risques nécessaires, y compris des décisions par des personnes dûment habilitées, après que toutes les mesures ont été prises pour ramener les risques à des niveaux acceptables selon la politique de gestion des risques sécuritaires du système de gestion de la sécurité des Nations Unies</w:t>
            </w:r>
            <w:r w:rsidRPr="00CA4599">
              <w:rPr>
                <w:rStyle w:val="FootnoteReference"/>
                <w:b w:val="0"/>
                <w:color w:val="auto"/>
                <w:lang w:bidi="fr-FR"/>
              </w:rPr>
              <w:footnoteReference w:id="2"/>
            </w:r>
            <w:r w:rsidRPr="00CA4599">
              <w:rPr>
                <w:b w:val="0"/>
                <w:color w:val="auto"/>
                <w:lang w:bidi="fr-FR"/>
              </w:rPr>
              <w:t>.</w:t>
            </w:r>
          </w:p>
          <w:p w14:paraId="69D6B0D6" w14:textId="23903D57" w:rsidR="0033654B" w:rsidRPr="00CA4599" w:rsidRDefault="0033654B" w:rsidP="0033654B">
            <w:pPr>
              <w:rPr>
                <w:color w:val="auto"/>
              </w:rPr>
            </w:pPr>
            <w:r w:rsidRPr="00CA4599">
              <w:rPr>
                <w:b w:val="0"/>
                <w:color w:val="auto"/>
                <w:lang w:bidi="fr-FR"/>
              </w:rPr>
              <w:t>Le PNUD gère la cybersécurité afin de protéger la confidentialité et l</w:t>
            </w:r>
            <w:r w:rsidR="0008241D" w:rsidRPr="00CA4599">
              <w:rPr>
                <w:b w:val="0"/>
                <w:color w:val="auto"/>
                <w:lang w:bidi="fr-FR"/>
              </w:rPr>
              <w:t>’</w:t>
            </w:r>
            <w:r w:rsidRPr="00CA4599">
              <w:rPr>
                <w:b w:val="0"/>
                <w:color w:val="auto"/>
                <w:lang w:bidi="fr-FR"/>
              </w:rPr>
              <w:t>intégrité de ses informations</w:t>
            </w:r>
            <w:r w:rsidRPr="00CA4599">
              <w:rPr>
                <w:rStyle w:val="FootnoteReference"/>
                <w:b w:val="0"/>
                <w:color w:val="auto"/>
                <w:lang w:bidi="fr-FR"/>
              </w:rPr>
              <w:footnoteReference w:id="3"/>
            </w:r>
            <w:r w:rsidRPr="00CA4599">
              <w:rPr>
                <w:b w:val="0"/>
                <w:color w:val="auto"/>
                <w:lang w:bidi="fr-FR"/>
              </w:rPr>
              <w:t>.</w:t>
            </w:r>
          </w:p>
          <w:p w14:paraId="1C02E800" w14:textId="01228949" w:rsidR="0033654B" w:rsidRPr="00CA4599" w:rsidRDefault="00781B40" w:rsidP="0033654B">
            <w:pPr>
              <w:rPr>
                <w:color w:val="auto"/>
              </w:rPr>
            </w:pPr>
            <w:r w:rsidRPr="00CA4599">
              <w:rPr>
                <w:noProof/>
              </w:rPr>
              <w:drawing>
                <wp:inline distT="0" distB="0" distL="0" distR="0" wp14:anchorId="271E9CC9" wp14:editId="5D992287">
                  <wp:extent cx="5038725" cy="514350"/>
                  <wp:effectExtent l="0" t="0" r="9525" b="0"/>
                  <wp:docPr id="61436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17898" name=""/>
                          <pic:cNvPicPr/>
                        </pic:nvPicPr>
                        <pic:blipFill>
                          <a:blip r:embed="rId14"/>
                          <a:stretch>
                            <a:fillRect/>
                          </a:stretch>
                        </pic:blipFill>
                        <pic:spPr>
                          <a:xfrm>
                            <a:off x="0" y="0"/>
                            <a:ext cx="5038725" cy="514350"/>
                          </a:xfrm>
                          <a:prstGeom prst="rect">
                            <a:avLst/>
                          </a:prstGeom>
                        </pic:spPr>
                      </pic:pic>
                    </a:graphicData>
                  </a:graphic>
                </wp:inline>
              </w:drawing>
            </w:r>
          </w:p>
        </w:tc>
        <w:tc>
          <w:tcPr>
            <w:tcW w:w="0" w:type="auto"/>
            <w:shd w:val="clear" w:color="auto" w:fill="FFFFFF" w:themeFill="background1"/>
          </w:tcPr>
          <w:p w14:paraId="368B1900" w14:textId="765CC88D" w:rsidR="0033654B" w:rsidRPr="00CA4599" w:rsidRDefault="0033654B" w:rsidP="0033654B">
            <w:pPr>
              <w:cnfStyle w:val="100000000000" w:firstRow="1" w:lastRow="0" w:firstColumn="0" w:lastColumn="0" w:oddVBand="0" w:evenVBand="0" w:oddHBand="0" w:evenHBand="0" w:firstRowFirstColumn="0" w:firstRowLastColumn="0" w:lastRowFirstColumn="0" w:lastRowLastColumn="0"/>
              <w:rPr>
                <w:b w:val="0"/>
                <w:bCs w:val="0"/>
                <w:color w:val="auto"/>
              </w:rPr>
            </w:pPr>
            <w:r w:rsidRPr="00CA4599">
              <w:rPr>
                <w:color w:val="auto"/>
                <w:lang w:bidi="fr-FR"/>
              </w:rPr>
              <w:t xml:space="preserve">Prudent </w:t>
            </w:r>
          </w:p>
        </w:tc>
      </w:tr>
    </w:tbl>
    <w:p w14:paraId="71FFCF75" w14:textId="32F86745" w:rsidR="00F74900" w:rsidRDefault="00F74900" w:rsidP="00F74900">
      <w:pPr>
        <w:pStyle w:val="Heading1"/>
        <w:numPr>
          <w:ilvl w:val="0"/>
          <w:numId w:val="11"/>
        </w:numPr>
        <w:ind w:left="357" w:hanging="357"/>
      </w:pPr>
      <w:bookmarkStart w:id="6" w:name="_Toc157420112"/>
      <w:r>
        <w:rPr>
          <w:lang w:bidi="fr-FR"/>
        </w:rPr>
        <w:t>Gérer les risques en se basant sur l</w:t>
      </w:r>
      <w:r w:rsidR="0008241D">
        <w:rPr>
          <w:lang w:bidi="fr-FR"/>
        </w:rPr>
        <w:t>’</w:t>
      </w:r>
      <w:r>
        <w:rPr>
          <w:lang w:bidi="fr-FR"/>
        </w:rPr>
        <w:t>appétit pour le risque</w:t>
      </w:r>
      <w:bookmarkEnd w:id="6"/>
    </w:p>
    <w:p w14:paraId="7DC6A945" w14:textId="24DE6FD2" w:rsidR="00F74900" w:rsidRDefault="00F74900" w:rsidP="00F74900">
      <w:pPr>
        <w:spacing w:after="0"/>
        <w:rPr>
          <w:lang w:bidi="fr-FR"/>
        </w:rPr>
      </w:pPr>
      <w:r w:rsidRPr="00100469">
        <w:rPr>
          <w:lang w:bidi="fr-FR"/>
        </w:rPr>
        <w:t>Comme le PNUD travaille dans un environnement où les risques sont élevés, les risques à identifier sont ceux qui excèdent les seuils d</w:t>
      </w:r>
      <w:r w:rsidR="0008241D">
        <w:rPr>
          <w:lang w:bidi="fr-FR"/>
        </w:rPr>
        <w:t>’</w:t>
      </w:r>
      <w:r w:rsidRPr="00100469">
        <w:rPr>
          <w:lang w:bidi="fr-FR"/>
        </w:rPr>
        <w:t>appétit pour le risque. Quatre possibilités sont offertes en présence de tels risques :</w:t>
      </w:r>
    </w:p>
    <w:p w14:paraId="2D25CE9F" w14:textId="77777777" w:rsidR="0008241D" w:rsidRPr="00100469" w:rsidRDefault="0008241D" w:rsidP="00F74900">
      <w:pPr>
        <w:spacing w:after="0"/>
      </w:pPr>
    </w:p>
    <w:p w14:paraId="4958C051" w14:textId="77777777" w:rsidR="00F74900" w:rsidRPr="00100469" w:rsidRDefault="00F74900" w:rsidP="00F74900">
      <w:pPr>
        <w:pStyle w:val="ListParagraph"/>
        <w:numPr>
          <w:ilvl w:val="0"/>
          <w:numId w:val="20"/>
        </w:numPr>
        <w:ind w:left="714" w:hanging="357"/>
      </w:pPr>
      <w:r w:rsidRPr="00100469">
        <w:rPr>
          <w:lang w:bidi="fr-FR"/>
        </w:rPr>
        <w:t>Atténuer le risque au moyen de contrôles accrus ;</w:t>
      </w:r>
    </w:p>
    <w:p w14:paraId="6CD6ADD4" w14:textId="1C897249" w:rsidR="00F74900" w:rsidRPr="00100469" w:rsidRDefault="008678D9" w:rsidP="00F74900">
      <w:pPr>
        <w:pStyle w:val="ListParagraph"/>
        <w:numPr>
          <w:ilvl w:val="0"/>
          <w:numId w:val="20"/>
        </w:numPr>
      </w:pPr>
      <w:r>
        <w:rPr>
          <w:lang w:bidi="fr-FR"/>
        </w:rPr>
        <w:t>Tolérer le risque à son niveau actuel ;</w:t>
      </w:r>
    </w:p>
    <w:p w14:paraId="02D78605" w14:textId="0446F5D8" w:rsidR="00F74900" w:rsidRPr="00100469" w:rsidRDefault="00E90931" w:rsidP="00F74900">
      <w:pPr>
        <w:pStyle w:val="ListParagraph"/>
        <w:numPr>
          <w:ilvl w:val="0"/>
          <w:numId w:val="20"/>
        </w:numPr>
      </w:pPr>
      <w:r>
        <w:rPr>
          <w:lang w:bidi="fr-FR"/>
        </w:rPr>
        <w:t>Supprimer le risque en adoptant une approche différente, sans toutefois s</w:t>
      </w:r>
      <w:r w:rsidR="0008241D">
        <w:rPr>
          <w:lang w:bidi="fr-FR"/>
        </w:rPr>
        <w:t>’</w:t>
      </w:r>
      <w:r>
        <w:rPr>
          <w:lang w:bidi="fr-FR"/>
        </w:rPr>
        <w:t>écarter des objectifs généraux du programme ;</w:t>
      </w:r>
    </w:p>
    <w:p w14:paraId="213D25CA" w14:textId="356B570D" w:rsidR="00F74900" w:rsidRPr="00100469" w:rsidRDefault="008678D9" w:rsidP="00F74900">
      <w:pPr>
        <w:pStyle w:val="ListParagraph"/>
        <w:numPr>
          <w:ilvl w:val="0"/>
          <w:numId w:val="20"/>
        </w:numPr>
      </w:pPr>
      <w:r>
        <w:rPr>
          <w:lang w:bidi="fr-FR"/>
        </w:rPr>
        <w:t>Transférer le risque ou le partager avec d</w:t>
      </w:r>
      <w:r w:rsidR="0008241D">
        <w:rPr>
          <w:lang w:bidi="fr-FR"/>
        </w:rPr>
        <w:t>’</w:t>
      </w:r>
      <w:r>
        <w:rPr>
          <w:lang w:bidi="fr-FR"/>
        </w:rPr>
        <w:t>autres.</w:t>
      </w:r>
    </w:p>
    <w:p w14:paraId="41DF8429" w14:textId="35CE8208" w:rsidR="00F74900" w:rsidRPr="00100469" w:rsidRDefault="00F74900" w:rsidP="00F74900">
      <w:r w:rsidRPr="00100469">
        <w:rPr>
          <w:lang w:bidi="fr-FR"/>
        </w:rPr>
        <w:t>Une discussion documentée, éclairée par une analyse à la fois qualitative et quantitative des risques, doit être initiée afin de trouver un accord sur les mesures et les décisions à prendre. Pour les risques qui ne peuvent pas raisonnablement, en particulier à un coût acceptable, être ramenés à un niveau admissible sur l</w:t>
      </w:r>
      <w:r w:rsidR="0008241D">
        <w:rPr>
          <w:lang w:bidi="fr-FR"/>
        </w:rPr>
        <w:t>’</w:t>
      </w:r>
      <w:r w:rsidRPr="00100469">
        <w:rPr>
          <w:lang w:bidi="fr-FR"/>
        </w:rPr>
        <w:t>échelle d</w:t>
      </w:r>
      <w:r w:rsidR="0008241D">
        <w:rPr>
          <w:lang w:bidi="fr-FR"/>
        </w:rPr>
        <w:t>’</w:t>
      </w:r>
      <w:r w:rsidRPr="00100469">
        <w:rPr>
          <w:lang w:bidi="fr-FR"/>
        </w:rPr>
        <w:t>appétit pour le risque et qui ne peuvent pas non plus être évités, il convient d</w:t>
      </w:r>
      <w:r w:rsidR="0008241D">
        <w:rPr>
          <w:lang w:bidi="fr-FR"/>
        </w:rPr>
        <w:t>’</w:t>
      </w:r>
      <w:r w:rsidRPr="00100469">
        <w:rPr>
          <w:lang w:bidi="fr-FR"/>
        </w:rPr>
        <w:t>obtenir l</w:t>
      </w:r>
      <w:r w:rsidR="0008241D">
        <w:rPr>
          <w:lang w:bidi="fr-FR"/>
        </w:rPr>
        <w:t>’</w:t>
      </w:r>
      <w:r w:rsidRPr="00100469">
        <w:rPr>
          <w:lang w:bidi="fr-FR"/>
        </w:rPr>
        <w:t>autorisation de poursuivre, conformément aux dispositions de gouvernance applicables. Les orientations fournissent de plus amples détails à ce sujet.</w:t>
      </w:r>
    </w:p>
    <w:p w14:paraId="3E4DADD9" w14:textId="31E23006" w:rsidR="001B7B2B" w:rsidRDefault="001B7B2B" w:rsidP="00CD07AF">
      <w:pPr>
        <w:pStyle w:val="Heading1"/>
        <w:numPr>
          <w:ilvl w:val="0"/>
          <w:numId w:val="11"/>
        </w:numPr>
        <w:ind w:left="357" w:hanging="357"/>
        <w:rPr>
          <w:lang w:bidi="fr-FR"/>
        </w:rPr>
      </w:pPr>
      <w:bookmarkStart w:id="7" w:name="_Toc157420113"/>
      <w:r w:rsidRPr="00C30B49">
        <w:rPr>
          <w:lang w:bidi="fr-FR"/>
        </w:rPr>
        <w:lastRenderedPageBreak/>
        <w:t>Mise en œuvre de l</w:t>
      </w:r>
      <w:r w:rsidR="0008241D">
        <w:rPr>
          <w:lang w:bidi="fr-FR"/>
        </w:rPr>
        <w:t>’</w:t>
      </w:r>
      <w:r w:rsidRPr="00C30B49">
        <w:rPr>
          <w:lang w:bidi="fr-FR"/>
        </w:rPr>
        <w:t>approche d</w:t>
      </w:r>
      <w:r w:rsidR="0008241D">
        <w:rPr>
          <w:lang w:bidi="fr-FR"/>
        </w:rPr>
        <w:t>’</w:t>
      </w:r>
      <w:r w:rsidRPr="00C30B49">
        <w:rPr>
          <w:lang w:bidi="fr-FR"/>
        </w:rPr>
        <w:t>appétit pour le risque et principes de gouvernance applicables</w:t>
      </w:r>
      <w:bookmarkEnd w:id="7"/>
      <w:r w:rsidRPr="00C30B49">
        <w:rPr>
          <w:lang w:bidi="fr-FR"/>
        </w:rPr>
        <w:tab/>
      </w:r>
    </w:p>
    <w:p w14:paraId="715161BA" w14:textId="77777777" w:rsidR="00002370" w:rsidRPr="00002370" w:rsidRDefault="00002370" w:rsidP="00002370">
      <w:pPr>
        <w:rPr>
          <w:lang w:bidi="fr-FR"/>
        </w:rPr>
      </w:pPr>
    </w:p>
    <w:p w14:paraId="21BA4C8D" w14:textId="1877B2D1" w:rsidR="00510AAB" w:rsidRDefault="0074789C" w:rsidP="001B7B2B">
      <w:r>
        <w:rPr>
          <w:lang w:bidi="fr-FR"/>
        </w:rPr>
        <w:t>Au PNUD, la gouvernance des risques repose sur le modèle des « trois lignes de maîtrise »</w:t>
      </w:r>
      <w:r w:rsidR="004B71F9">
        <w:rPr>
          <w:rStyle w:val="FootnoteReference"/>
          <w:lang w:bidi="fr-FR"/>
        </w:rPr>
        <w:footnoteReference w:id="4"/>
      </w:r>
      <w:r>
        <w:rPr>
          <w:lang w:bidi="fr-FR"/>
        </w:rPr>
        <w:t>, lequel favorise une gestion plus efficace des risques en introduisant des règles de gouvernance et de supervision structurées qui clarifient et répartissent les rôles et les responsabilités. La déclaration d</w:t>
      </w:r>
      <w:r w:rsidR="0008241D">
        <w:rPr>
          <w:lang w:bidi="fr-FR"/>
        </w:rPr>
        <w:t>’</w:t>
      </w:r>
      <w:r>
        <w:rPr>
          <w:lang w:bidi="fr-FR"/>
        </w:rPr>
        <w:t>appétit pour le risque est régie et mise en œuvre selon le même modèle, dans le but de favoriser un processus décisionnel minutieux et effectif (se reporter aux orientations pour de plus amples détails). Les facteurs pouvant justifier la révision de la déclaration d</w:t>
      </w:r>
      <w:r w:rsidR="0008241D">
        <w:rPr>
          <w:lang w:bidi="fr-FR"/>
        </w:rPr>
        <w:t>’</w:t>
      </w:r>
      <w:r>
        <w:rPr>
          <w:lang w:bidi="fr-FR"/>
        </w:rPr>
        <w:t>appétit pour le risque sont indiqués dans la première partie. Les responsabilités en matière de gestion des risques sont définies sur la base de l</w:t>
      </w:r>
      <w:r w:rsidR="0008241D">
        <w:rPr>
          <w:lang w:bidi="fr-FR"/>
        </w:rPr>
        <w:t>’</w:t>
      </w:r>
      <w:r>
        <w:rPr>
          <w:lang w:bidi="fr-FR"/>
        </w:rPr>
        <w:t xml:space="preserve">organisation hiérarchique du PNUD. Autrement dit, la personne responsable de chaque unité est redevable de la gestion des risques dans les limites des responsabilités hiérarchiques qui lui incombent, comme le prévoit le </w:t>
      </w:r>
      <w:bookmarkStart w:id="8" w:name="_Hlk55833725"/>
      <w:r w:rsidR="00510AAB">
        <w:rPr>
          <w:lang w:bidi="fr-FR"/>
        </w:rPr>
        <w:fldChar w:fldCharType="begin"/>
      </w:r>
      <w:r w:rsidR="009F17D1">
        <w:rPr>
          <w:lang w:bidi="fr-FR"/>
        </w:rPr>
        <w:instrText>HYPERLINK "https://popp.undp.org/document/3871/view/fr"</w:instrText>
      </w:r>
      <w:r w:rsidR="009F17D1">
        <w:rPr>
          <w:lang w:bidi="fr-FR"/>
        </w:rPr>
      </w:r>
      <w:r w:rsidR="00510AAB">
        <w:rPr>
          <w:lang w:bidi="fr-FR"/>
        </w:rPr>
        <w:fldChar w:fldCharType="separate"/>
      </w:r>
      <w:r w:rsidR="00510AAB">
        <w:rPr>
          <w:rStyle w:val="Hyperlink"/>
          <w:lang w:bidi="fr-FR"/>
        </w:rPr>
        <w:t>Cadre de redevabilit</w:t>
      </w:r>
      <w:r w:rsidR="00510AAB">
        <w:rPr>
          <w:rStyle w:val="Hyperlink"/>
          <w:lang w:bidi="fr-FR"/>
        </w:rPr>
        <w:t>é</w:t>
      </w:r>
      <w:r w:rsidR="00510AAB">
        <w:rPr>
          <w:rStyle w:val="Hyperlink"/>
          <w:lang w:bidi="fr-FR"/>
        </w:rPr>
        <w:t xml:space="preserve"> du PNUD</w:t>
      </w:r>
      <w:r w:rsidR="00510AAB">
        <w:rPr>
          <w:lang w:bidi="fr-FR"/>
        </w:rPr>
        <w:fldChar w:fldCharType="end"/>
      </w:r>
      <w:r>
        <w:rPr>
          <w:lang w:bidi="fr-FR"/>
        </w:rPr>
        <w:t>.</w:t>
      </w:r>
    </w:p>
    <w:p w14:paraId="70A278CD" w14:textId="777D4DE5" w:rsidR="001B7B2B" w:rsidRPr="001B7B2B" w:rsidRDefault="001B7B2B" w:rsidP="001B7B2B">
      <w:r w:rsidRPr="001B7B2B">
        <w:rPr>
          <w:lang w:bidi="fr-FR"/>
        </w:rPr>
        <w:t>La déclaration d</w:t>
      </w:r>
      <w:r w:rsidR="0008241D">
        <w:rPr>
          <w:lang w:bidi="fr-FR"/>
        </w:rPr>
        <w:t>’</w:t>
      </w:r>
      <w:r w:rsidRPr="001B7B2B">
        <w:rPr>
          <w:lang w:bidi="fr-FR"/>
        </w:rPr>
        <w:t>appétit pour le risque est mise en œuvre dans une culture de gestion des risques qui consiste à identifier, à analyser et à atténuer les risques ou à en tirer parti afin de réaliser le Plan stratégique du PNUD et de mener les programmes en respectant les priorités définies. Elle renforce l</w:t>
      </w:r>
      <w:r w:rsidR="0008241D">
        <w:rPr>
          <w:lang w:bidi="fr-FR"/>
        </w:rPr>
        <w:t>’</w:t>
      </w:r>
      <w:r w:rsidRPr="001B7B2B">
        <w:rPr>
          <w:lang w:bidi="fr-FR"/>
        </w:rPr>
        <w:t>efficacité du modèle décentralisé du PNUD, en favorisant une approche cohérente des risques à tous les niveaux, y compris aux niveaux national et régional. Elle est mise en œuvre dans un environnement évolutif, dans lequel des contrôles sont mis en place afin d</w:t>
      </w:r>
      <w:r w:rsidR="0008241D">
        <w:rPr>
          <w:lang w:bidi="fr-FR"/>
        </w:rPr>
        <w:t>’</w:t>
      </w:r>
      <w:r w:rsidRPr="001B7B2B">
        <w:rPr>
          <w:lang w:bidi="fr-FR"/>
        </w:rPr>
        <w:t>assurer de bonnes conditions d</w:t>
      </w:r>
      <w:r w:rsidR="0008241D">
        <w:rPr>
          <w:lang w:bidi="fr-FR"/>
        </w:rPr>
        <w:t>’</w:t>
      </w:r>
      <w:r w:rsidRPr="001B7B2B">
        <w:rPr>
          <w:lang w:bidi="fr-FR"/>
        </w:rPr>
        <w:t>exécution. Plus particulièrement :</w:t>
      </w:r>
    </w:p>
    <w:p w14:paraId="24013D0C" w14:textId="6B3EE39F" w:rsidR="001B7B2B" w:rsidRPr="0008241D" w:rsidRDefault="00DA1DA7" w:rsidP="61CACD70">
      <w:pPr>
        <w:numPr>
          <w:ilvl w:val="0"/>
          <w:numId w:val="4"/>
        </w:numPr>
      </w:pPr>
      <w:r w:rsidRPr="61CACD70">
        <w:rPr>
          <w:b/>
          <w:lang w:bidi="fr-FR"/>
        </w:rPr>
        <w:t>Les décisions tiennent compte des risques </w:t>
      </w:r>
      <w:r w:rsidRPr="61CACD70">
        <w:rPr>
          <w:lang w:bidi="fr-FR"/>
        </w:rPr>
        <w:t>: Tous les rapports « pour décision » doivent faire l</w:t>
      </w:r>
      <w:r w:rsidR="0008241D">
        <w:rPr>
          <w:lang w:bidi="fr-FR"/>
        </w:rPr>
        <w:t>’</w:t>
      </w:r>
      <w:r w:rsidRPr="61CACD70">
        <w:rPr>
          <w:lang w:bidi="fr-FR"/>
        </w:rPr>
        <w:t>objet d</w:t>
      </w:r>
      <w:r w:rsidR="0008241D">
        <w:rPr>
          <w:lang w:bidi="fr-FR"/>
        </w:rPr>
        <w:t>’</w:t>
      </w:r>
      <w:r w:rsidRPr="61CACD70">
        <w:rPr>
          <w:lang w:bidi="fr-FR"/>
        </w:rPr>
        <w:t>une validation du risque, sur la base d</w:t>
      </w:r>
      <w:r w:rsidR="0008241D">
        <w:rPr>
          <w:lang w:bidi="fr-FR"/>
        </w:rPr>
        <w:t>’</w:t>
      </w:r>
      <w:r w:rsidRPr="61CACD70">
        <w:rPr>
          <w:lang w:bidi="fr-FR"/>
        </w:rPr>
        <w:t>une quantification du risque et de son évaluation au regard des dispositions applicables de la déclaration d</w:t>
      </w:r>
      <w:r w:rsidR="0008241D">
        <w:rPr>
          <w:lang w:bidi="fr-FR"/>
        </w:rPr>
        <w:t>’</w:t>
      </w:r>
      <w:r w:rsidRPr="61CACD70">
        <w:rPr>
          <w:lang w:bidi="fr-FR"/>
        </w:rPr>
        <w:t>appétit pour le risque. Lorsque les activités sont acceptables du point de vue des seuils d</w:t>
      </w:r>
      <w:r w:rsidR="0008241D">
        <w:rPr>
          <w:lang w:bidi="fr-FR"/>
        </w:rPr>
        <w:t>’</w:t>
      </w:r>
      <w:r w:rsidRPr="61CACD70">
        <w:rPr>
          <w:lang w:bidi="fr-FR"/>
        </w:rPr>
        <w:t>appétit pour le risque, les contrôles en place doivent être revus afin d</w:t>
      </w:r>
      <w:r w:rsidR="0008241D">
        <w:rPr>
          <w:lang w:bidi="fr-FR"/>
        </w:rPr>
        <w:t>’</w:t>
      </w:r>
      <w:r w:rsidRPr="61CACD70">
        <w:rPr>
          <w:lang w:bidi="fr-FR"/>
        </w:rPr>
        <w:t>identifier ceux qui pourraient être assouplis et, ce faisant, de libérer des ressources pour gérer les risques qui approchent ou excèdent les limites de tolérance. Lorsque les activités induisent des risques qui se rapprochent ou se situent au-delà des limites de l</w:t>
      </w:r>
      <w:r w:rsidR="0008241D">
        <w:rPr>
          <w:lang w:bidi="fr-FR"/>
        </w:rPr>
        <w:t>’</w:t>
      </w:r>
      <w:r w:rsidRPr="61CACD70">
        <w:rPr>
          <w:lang w:bidi="fr-FR"/>
        </w:rPr>
        <w:t>appétit pour le risque, une analyse des risques est réalisée pour décider des conditions dans lesquelles ces activités doivent être gérées et mises en œuvre.</w:t>
      </w:r>
    </w:p>
    <w:p w14:paraId="5E8FB07A" w14:textId="4CB05773" w:rsidR="001B7B2B" w:rsidRPr="001B7B2B" w:rsidRDefault="001B7B2B" w:rsidP="001B7B2B">
      <w:pPr>
        <w:numPr>
          <w:ilvl w:val="0"/>
          <w:numId w:val="4"/>
        </w:numPr>
      </w:pPr>
      <w:r w:rsidRPr="00F20C15">
        <w:rPr>
          <w:b/>
          <w:lang w:bidi="fr-FR"/>
        </w:rPr>
        <w:t>L</w:t>
      </w:r>
      <w:r w:rsidR="0008241D">
        <w:rPr>
          <w:b/>
          <w:lang w:bidi="fr-FR"/>
        </w:rPr>
        <w:t>’</w:t>
      </w:r>
      <w:r w:rsidRPr="00F20C15">
        <w:rPr>
          <w:b/>
          <w:lang w:bidi="fr-FR"/>
        </w:rPr>
        <w:t>innovation et la prise de risques responsable sont récompensées </w:t>
      </w:r>
      <w:r w:rsidRPr="00F20C15">
        <w:rPr>
          <w:lang w:bidi="fr-FR"/>
        </w:rPr>
        <w:t>: La compréhension de l</w:t>
      </w:r>
      <w:r w:rsidR="0008241D">
        <w:rPr>
          <w:lang w:bidi="fr-FR"/>
        </w:rPr>
        <w:t>’</w:t>
      </w:r>
      <w:r w:rsidRPr="00F20C15">
        <w:rPr>
          <w:lang w:bidi="fr-FR"/>
        </w:rPr>
        <w:t>appétit pour le risque du PNUD dans différents domaines permet d</w:t>
      </w:r>
      <w:r w:rsidR="0008241D">
        <w:rPr>
          <w:lang w:bidi="fr-FR"/>
        </w:rPr>
        <w:t>’</w:t>
      </w:r>
      <w:r w:rsidRPr="00F20C15">
        <w:rPr>
          <w:lang w:bidi="fr-FR"/>
        </w:rPr>
        <w:t xml:space="preserve">innover et de prendre des risques de manière cohérente, consciente, délibérée et réfléchie, en connaissance de ce que le PNUD est disposé ou non à tolérer. </w:t>
      </w:r>
    </w:p>
    <w:p w14:paraId="66A01A98" w14:textId="1F5B14FD" w:rsidR="00801B83" w:rsidRPr="00801B83" w:rsidRDefault="00DA1DA7">
      <w:pPr>
        <w:numPr>
          <w:ilvl w:val="0"/>
          <w:numId w:val="4"/>
        </w:numPr>
      </w:pPr>
      <w:r w:rsidRPr="00F20C15">
        <w:rPr>
          <w:b/>
          <w:lang w:bidi="fr-FR"/>
        </w:rPr>
        <w:lastRenderedPageBreak/>
        <w:t>Les échecs sont reconnus et permettent de tirer des enseignements</w:t>
      </w:r>
      <w:r w:rsidRPr="00F20C15">
        <w:rPr>
          <w:lang w:bidi="fr-FR"/>
        </w:rPr>
        <w:t> : Si des contrôles et des mécanismes de gouvernance adaptés sont en place, il est possible de prendre des risques excédant les limites de l</w:t>
      </w:r>
      <w:r w:rsidR="0008241D">
        <w:rPr>
          <w:lang w:bidi="fr-FR"/>
        </w:rPr>
        <w:t>’</w:t>
      </w:r>
      <w:r w:rsidRPr="00F20C15">
        <w:rPr>
          <w:lang w:bidi="fr-FR"/>
        </w:rPr>
        <w:t>appétit pour le risque. Dans ces situations, l</w:t>
      </w:r>
      <w:r w:rsidR="0008241D">
        <w:rPr>
          <w:lang w:bidi="fr-FR"/>
        </w:rPr>
        <w:t>’</w:t>
      </w:r>
      <w:r w:rsidRPr="00F20C15">
        <w:rPr>
          <w:lang w:bidi="fr-FR"/>
        </w:rPr>
        <w:t>échec, s</w:t>
      </w:r>
      <w:r w:rsidR="0008241D">
        <w:rPr>
          <w:lang w:bidi="fr-FR"/>
        </w:rPr>
        <w:t>’</w:t>
      </w:r>
      <w:r w:rsidRPr="00F20C15">
        <w:rPr>
          <w:lang w:bidi="fr-FR"/>
        </w:rPr>
        <w:t>il survient, est perçu comme une occasion d</w:t>
      </w:r>
      <w:r w:rsidR="0008241D">
        <w:rPr>
          <w:lang w:bidi="fr-FR"/>
        </w:rPr>
        <w:t>’</w:t>
      </w:r>
      <w:r w:rsidRPr="00F20C15">
        <w:rPr>
          <w:lang w:bidi="fr-FR"/>
        </w:rPr>
        <w:t>apprendre. Toutefois, lorsque des risques sont pris en dépit des contrôles et du cadre de gouvernance applicables, la situation doit faire l</w:t>
      </w:r>
      <w:r w:rsidR="0008241D">
        <w:rPr>
          <w:lang w:bidi="fr-FR"/>
        </w:rPr>
        <w:t>’</w:t>
      </w:r>
      <w:r w:rsidRPr="00F20C15">
        <w:rPr>
          <w:lang w:bidi="fr-FR"/>
        </w:rPr>
        <w:t>objet d</w:t>
      </w:r>
      <w:r w:rsidR="0008241D">
        <w:rPr>
          <w:lang w:bidi="fr-FR"/>
        </w:rPr>
        <w:t>’</w:t>
      </w:r>
      <w:r w:rsidRPr="00F20C15">
        <w:rPr>
          <w:lang w:bidi="fr-FR"/>
        </w:rPr>
        <w:t>un examen qui permettra au PNUD de comprendre ce qu</w:t>
      </w:r>
      <w:r w:rsidR="0008241D">
        <w:rPr>
          <w:lang w:bidi="fr-FR"/>
        </w:rPr>
        <w:t>’</w:t>
      </w:r>
      <w:r w:rsidRPr="00F20C15">
        <w:rPr>
          <w:lang w:bidi="fr-FR"/>
        </w:rPr>
        <w:t>il s</w:t>
      </w:r>
      <w:r w:rsidR="0008241D">
        <w:rPr>
          <w:lang w:bidi="fr-FR"/>
        </w:rPr>
        <w:t>’</w:t>
      </w:r>
      <w:r w:rsidRPr="00F20C15">
        <w:rPr>
          <w:lang w:bidi="fr-FR"/>
        </w:rPr>
        <w:t>est passé et qui contribuera à l</w:t>
      </w:r>
      <w:r w:rsidR="0008241D">
        <w:rPr>
          <w:lang w:bidi="fr-FR"/>
        </w:rPr>
        <w:t>’</w:t>
      </w:r>
      <w:r w:rsidRPr="00F20C15">
        <w:rPr>
          <w:lang w:bidi="fr-FR"/>
        </w:rPr>
        <w:t>amélioration continue de la déclaration d</w:t>
      </w:r>
      <w:r w:rsidR="0008241D">
        <w:rPr>
          <w:lang w:bidi="fr-FR"/>
        </w:rPr>
        <w:t>’</w:t>
      </w:r>
      <w:r w:rsidRPr="00F20C15">
        <w:rPr>
          <w:lang w:bidi="fr-FR"/>
        </w:rPr>
        <w:t>appétit pour le risque et de son utilisation. De plus, le PNUD s</w:t>
      </w:r>
      <w:r w:rsidR="0008241D">
        <w:rPr>
          <w:lang w:bidi="fr-FR"/>
        </w:rPr>
        <w:t>’</w:t>
      </w:r>
      <w:r w:rsidRPr="00F20C15">
        <w:rPr>
          <w:lang w:bidi="fr-FR"/>
        </w:rPr>
        <w:t>attache à tirer des enseignements de toutes ses activités afin d</w:t>
      </w:r>
      <w:r w:rsidR="0008241D">
        <w:rPr>
          <w:lang w:bidi="fr-FR"/>
        </w:rPr>
        <w:t>’</w:t>
      </w:r>
      <w:r w:rsidRPr="00F20C15">
        <w:rPr>
          <w:lang w:bidi="fr-FR"/>
        </w:rPr>
        <w:t>améliorer ses résultats et d</w:t>
      </w:r>
      <w:r w:rsidR="0008241D">
        <w:rPr>
          <w:lang w:bidi="fr-FR"/>
        </w:rPr>
        <w:t>’</w:t>
      </w:r>
      <w:r w:rsidRPr="00F20C15">
        <w:rPr>
          <w:lang w:bidi="fr-FR"/>
        </w:rPr>
        <w:t>adopter de meilleures approches pour mettre en œuvre ses programmes.</w:t>
      </w:r>
    </w:p>
    <w:p w14:paraId="18082A89" w14:textId="4699FEC0" w:rsidR="00533554" w:rsidRDefault="00801B83" w:rsidP="623262FC">
      <w:pPr>
        <w:numPr>
          <w:ilvl w:val="0"/>
          <w:numId w:val="4"/>
        </w:numPr>
      </w:pPr>
      <w:r w:rsidRPr="623262FC">
        <w:rPr>
          <w:b/>
          <w:lang w:bidi="fr-FR"/>
        </w:rPr>
        <w:t>Il existe une communication ouverte sur les problèmes de gestion des risques et sur les enseignements tirés, ainsi qu</w:t>
      </w:r>
      <w:r w:rsidR="0008241D">
        <w:rPr>
          <w:b/>
          <w:lang w:bidi="fr-FR"/>
        </w:rPr>
        <w:t>’</w:t>
      </w:r>
      <w:r w:rsidRPr="623262FC">
        <w:rPr>
          <w:b/>
          <w:lang w:bidi="fr-FR"/>
        </w:rPr>
        <w:t>une culture de la transparence </w:t>
      </w:r>
      <w:r w:rsidRPr="623262FC">
        <w:rPr>
          <w:lang w:bidi="fr-FR"/>
        </w:rPr>
        <w:t>: Chaque personne a son propre appétit pour le risque et sa propre perception du niveau de risque que le PNUD est disposé à accepter afin de remplir sa mission. La déclaration d</w:t>
      </w:r>
      <w:r w:rsidR="0008241D">
        <w:rPr>
          <w:lang w:bidi="fr-FR"/>
        </w:rPr>
        <w:t>’</w:t>
      </w:r>
      <w:r w:rsidRPr="623262FC">
        <w:rPr>
          <w:lang w:bidi="fr-FR"/>
        </w:rPr>
        <w:t>appétit pour le risque permet d</w:t>
      </w:r>
      <w:r w:rsidR="0008241D">
        <w:rPr>
          <w:lang w:bidi="fr-FR"/>
        </w:rPr>
        <w:t>’</w:t>
      </w:r>
      <w:r w:rsidRPr="623262FC">
        <w:rPr>
          <w:lang w:bidi="fr-FR"/>
        </w:rPr>
        <w:t>engager des discussions ouvertes dans un cadre bien identifié, aussi bien au sein du PNUD qu</w:t>
      </w:r>
      <w:r w:rsidR="0008241D">
        <w:rPr>
          <w:lang w:bidi="fr-FR"/>
        </w:rPr>
        <w:t>’</w:t>
      </w:r>
      <w:r w:rsidRPr="623262FC">
        <w:rPr>
          <w:lang w:bidi="fr-FR"/>
        </w:rPr>
        <w:t>avec des partenaires externes, évitant ainsi que chacun n</w:t>
      </w:r>
      <w:r w:rsidR="0008241D">
        <w:rPr>
          <w:lang w:bidi="fr-FR"/>
        </w:rPr>
        <w:t>’</w:t>
      </w:r>
      <w:r w:rsidRPr="623262FC">
        <w:rPr>
          <w:lang w:bidi="fr-FR"/>
        </w:rPr>
        <w:t>agisse sur la base de ses propres hypothèses</w:t>
      </w:r>
      <w:bookmarkEnd w:id="8"/>
      <w:r w:rsidRPr="623262FC">
        <w:rPr>
          <w:lang w:bidi="fr-FR"/>
        </w:rPr>
        <w:t>.</w:t>
      </w:r>
    </w:p>
    <w:p w14:paraId="3D424976" w14:textId="77777777" w:rsidR="00002370" w:rsidRDefault="00002370" w:rsidP="00002370"/>
    <w:p w14:paraId="7D290CE1" w14:textId="77777777" w:rsidR="00002370" w:rsidRDefault="00002370" w:rsidP="00002370"/>
    <w:p w14:paraId="7194F46E" w14:textId="77777777" w:rsidR="00002370" w:rsidRDefault="00002370" w:rsidP="00002370"/>
    <w:p w14:paraId="091A60DD" w14:textId="77777777" w:rsidR="00002370" w:rsidRDefault="00002370" w:rsidP="00002370"/>
    <w:p w14:paraId="065BF82A" w14:textId="77777777" w:rsidR="00002370" w:rsidRDefault="00002370" w:rsidP="00002370"/>
    <w:p w14:paraId="02C2FE33" w14:textId="77777777" w:rsidR="00002370" w:rsidRDefault="00002370" w:rsidP="00002370"/>
    <w:p w14:paraId="0694ED74" w14:textId="77777777" w:rsidR="00002370" w:rsidRDefault="00002370" w:rsidP="00002370"/>
    <w:p w14:paraId="5E1429B0" w14:textId="77777777" w:rsidR="00002370" w:rsidRDefault="00002370" w:rsidP="00002370"/>
    <w:p w14:paraId="250D2688" w14:textId="77777777" w:rsidR="00002370" w:rsidRDefault="00002370" w:rsidP="00002370"/>
    <w:p w14:paraId="77183399" w14:textId="77777777" w:rsidR="00002370" w:rsidRPr="00002370" w:rsidRDefault="00002370" w:rsidP="00002370">
      <w:pPr>
        <w:rPr>
          <w:sz w:val="20"/>
          <w:szCs w:val="20"/>
        </w:rPr>
      </w:pPr>
    </w:p>
    <w:p w14:paraId="172954AC" w14:textId="77777777" w:rsidR="00002370" w:rsidRPr="00002370" w:rsidRDefault="00002370" w:rsidP="00002370">
      <w:pPr>
        <w:rPr>
          <w:sz w:val="20"/>
          <w:szCs w:val="20"/>
        </w:rPr>
      </w:pPr>
    </w:p>
    <w:p w14:paraId="1F837760" w14:textId="77777777" w:rsidR="00002370" w:rsidRPr="00002370" w:rsidRDefault="00002370" w:rsidP="00002370">
      <w:pPr>
        <w:jc w:val="both"/>
        <w:rPr>
          <w:rFonts w:ascii="Calibri" w:hAnsi="Calibri" w:cs="Calibri"/>
          <w:sz w:val="20"/>
          <w:szCs w:val="20"/>
        </w:rPr>
      </w:pPr>
    </w:p>
    <w:p w14:paraId="12E93199" w14:textId="4E1A73F5" w:rsidR="00002370" w:rsidRPr="007B2143" w:rsidRDefault="00002370" w:rsidP="00002370">
      <w:pPr>
        <w:shd w:val="clear" w:color="auto" w:fill="FFFFFF"/>
        <w:spacing w:line="270" w:lineRule="atLeast"/>
        <w:jc w:val="both"/>
        <w:rPr>
          <w:rFonts w:ascii="Calibri" w:hAnsi="Calibri" w:cs="Calibri"/>
          <w:i/>
          <w:iCs/>
          <w:color w:val="000000"/>
          <w:sz w:val="20"/>
          <w:szCs w:val="20"/>
          <w:lang w:val="en-GB"/>
        </w:rPr>
      </w:pPr>
      <w:r w:rsidRPr="00002370">
        <w:rPr>
          <w:rFonts w:ascii="Calibri" w:hAnsi="Calibri" w:cs="Calibri"/>
          <w:b/>
          <w:bCs/>
          <w:i/>
          <w:iCs/>
          <w:color w:val="000000"/>
          <w:sz w:val="20"/>
          <w:szCs w:val="20"/>
          <w:lang w:val="en-GB"/>
        </w:rPr>
        <w:t>Disclaimer: </w:t>
      </w:r>
      <w:r w:rsidRPr="00002370">
        <w:rPr>
          <w:rFonts w:ascii="Calibri" w:hAnsi="Calibri" w:cs="Calibri"/>
          <w:i/>
          <w:iCs/>
          <w:color w:val="000000"/>
          <w:sz w:val="20"/>
          <w:szCs w:val="20"/>
          <w:lang w:val="en-GB"/>
        </w:rPr>
        <w:t>This document was translated from English into French. In the event of any discrepancy between this translation and the original English document, the original English document shall prevail.</w:t>
      </w:r>
    </w:p>
    <w:p w14:paraId="0ED1BE70" w14:textId="5A1F0073" w:rsidR="00002370" w:rsidRPr="00002370" w:rsidRDefault="00002370" w:rsidP="00002370">
      <w:pPr>
        <w:shd w:val="clear" w:color="auto" w:fill="FFFFFF"/>
        <w:spacing w:line="270" w:lineRule="atLeast"/>
        <w:jc w:val="both"/>
        <w:rPr>
          <w:rFonts w:ascii="Calibri" w:hAnsi="Calibri" w:cs="Calibri"/>
          <w:color w:val="000000"/>
          <w:sz w:val="20"/>
          <w:szCs w:val="20"/>
          <w:lang w:eastAsia="ko-KR"/>
        </w:rPr>
      </w:pPr>
      <w:proofErr w:type="gramStart"/>
      <w:r w:rsidRPr="00002370">
        <w:rPr>
          <w:rFonts w:ascii="Calibri" w:hAnsi="Calibri" w:cs="Calibri"/>
          <w:b/>
          <w:bCs/>
          <w:i/>
          <w:iCs/>
          <w:color w:val="000000"/>
          <w:sz w:val="20"/>
          <w:szCs w:val="20"/>
        </w:rPr>
        <w:t>Attention:</w:t>
      </w:r>
      <w:proofErr w:type="gramEnd"/>
      <w:r w:rsidRPr="00002370">
        <w:rPr>
          <w:rFonts w:ascii="Calibri" w:hAnsi="Calibri" w:cs="Calibri"/>
          <w:b/>
          <w:bCs/>
          <w:i/>
          <w:iCs/>
          <w:color w:val="000000"/>
          <w:sz w:val="20"/>
          <w:szCs w:val="20"/>
        </w:rPr>
        <w:t> </w:t>
      </w:r>
      <w:r w:rsidRPr="00002370">
        <w:rPr>
          <w:rFonts w:ascii="Calibri" w:hAnsi="Calibri" w:cs="Calibri"/>
          <w:i/>
          <w:iCs/>
          <w:color w:val="000000"/>
          <w:sz w:val="20"/>
          <w:szCs w:val="20"/>
        </w:rPr>
        <w:t>En cas de divergence entre les textes français et anglais de cette politique, le texte anglais fait foi, sauf disposition expresse écrite contraire.</w:t>
      </w:r>
    </w:p>
    <w:sectPr w:rsidR="00002370" w:rsidRPr="0000237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933E" w14:textId="77777777" w:rsidR="00F76E4A" w:rsidRDefault="00F76E4A" w:rsidP="00481B8E">
      <w:pPr>
        <w:spacing w:after="0" w:line="240" w:lineRule="auto"/>
      </w:pPr>
      <w:r>
        <w:separator/>
      </w:r>
    </w:p>
  </w:endnote>
  <w:endnote w:type="continuationSeparator" w:id="0">
    <w:p w14:paraId="13C14287" w14:textId="77777777" w:rsidR="00F76E4A" w:rsidRDefault="00F76E4A" w:rsidP="00481B8E">
      <w:pPr>
        <w:spacing w:after="0" w:line="240" w:lineRule="auto"/>
      </w:pPr>
      <w:r>
        <w:continuationSeparator/>
      </w:r>
    </w:p>
  </w:endnote>
  <w:endnote w:type="continuationNotice" w:id="1">
    <w:p w14:paraId="4BF2992C" w14:textId="77777777" w:rsidR="00F76E4A" w:rsidRDefault="00F7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9913" w14:textId="77777777" w:rsidR="008E6B20" w:rsidRDefault="008E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31270"/>
      <w:docPartObj>
        <w:docPartGallery w:val="Page Numbers (Bottom of Page)"/>
        <w:docPartUnique/>
      </w:docPartObj>
    </w:sdtPr>
    <w:sdtEndPr>
      <w:rPr>
        <w:noProof/>
      </w:rPr>
    </w:sdtEndPr>
    <w:sdtContent>
      <w:p w14:paraId="76E9C58E" w14:textId="787A6BBF" w:rsidR="009374F2" w:rsidRDefault="009374F2">
        <w:pPr>
          <w:pStyle w:val="Footer"/>
          <w:jc w:val="center"/>
        </w:pPr>
        <w:r>
          <w:rPr>
            <w:lang w:bidi="fr-FR"/>
          </w:rPr>
          <w:fldChar w:fldCharType="begin"/>
        </w:r>
        <w:r>
          <w:rPr>
            <w:lang w:bidi="fr-FR"/>
          </w:rPr>
          <w:instrText xml:space="preserve"> PAGE   \* MERGEFORMAT </w:instrText>
        </w:r>
        <w:r>
          <w:rPr>
            <w:lang w:bidi="fr-FR"/>
          </w:rPr>
          <w:fldChar w:fldCharType="separate"/>
        </w:r>
        <w:r w:rsidR="002D5874">
          <w:rPr>
            <w:noProof/>
            <w:lang w:bidi="fr-FR"/>
          </w:rPr>
          <w:t>5</w:t>
        </w:r>
        <w:r>
          <w:rPr>
            <w:noProof/>
            <w:lang w:bidi="fr-FR"/>
          </w:rPr>
          <w:fldChar w:fldCharType="end"/>
        </w:r>
      </w:p>
    </w:sdtContent>
  </w:sdt>
  <w:p w14:paraId="7C9A9F13" w14:textId="77777777" w:rsidR="009374F2" w:rsidRDefault="0093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10B" w14:textId="77777777" w:rsidR="008E6B20" w:rsidRDefault="008E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9F59" w14:textId="77777777" w:rsidR="00F76E4A" w:rsidRDefault="00F76E4A" w:rsidP="00481B8E">
      <w:pPr>
        <w:spacing w:after="0" w:line="240" w:lineRule="auto"/>
      </w:pPr>
      <w:r>
        <w:separator/>
      </w:r>
    </w:p>
  </w:footnote>
  <w:footnote w:type="continuationSeparator" w:id="0">
    <w:p w14:paraId="072DAE97" w14:textId="77777777" w:rsidR="00F76E4A" w:rsidRDefault="00F76E4A" w:rsidP="00481B8E">
      <w:pPr>
        <w:spacing w:after="0" w:line="240" w:lineRule="auto"/>
      </w:pPr>
      <w:r>
        <w:continuationSeparator/>
      </w:r>
    </w:p>
  </w:footnote>
  <w:footnote w:type="continuationNotice" w:id="1">
    <w:p w14:paraId="65475EB4" w14:textId="77777777" w:rsidR="00F76E4A" w:rsidRDefault="00F76E4A">
      <w:pPr>
        <w:spacing w:after="0" w:line="240" w:lineRule="auto"/>
      </w:pPr>
    </w:p>
  </w:footnote>
  <w:footnote w:id="2">
    <w:p w14:paraId="757EC36C" w14:textId="34468F67" w:rsidR="0033654B" w:rsidRPr="00AB231B" w:rsidRDefault="0033654B" w:rsidP="00CD1C74">
      <w:pPr>
        <w:pStyle w:val="FootnoteText"/>
        <w:rPr>
          <w:sz w:val="18"/>
          <w:szCs w:val="18"/>
        </w:rPr>
      </w:pPr>
      <w:r w:rsidRPr="00AB231B">
        <w:rPr>
          <w:rStyle w:val="FootnoteReference"/>
          <w:sz w:val="18"/>
          <w:lang w:bidi="fr-FR"/>
        </w:rPr>
        <w:footnoteRef/>
      </w:r>
      <w:r w:rsidRPr="00AB231B">
        <w:rPr>
          <w:sz w:val="18"/>
          <w:lang w:bidi="fr-FR"/>
        </w:rPr>
        <w:t xml:space="preserve"> La politique de gestion des risques sécuritaires du système de gestion de la sécurité des Nations Unies, approuvée par le Conseil des chefs de secrétariat pour la coordination (CCS), définit le modèle des risques acceptables dans lequel les risques sécuritaires sont évalués à l</w:t>
      </w:r>
      <w:r w:rsidR="0008241D">
        <w:rPr>
          <w:sz w:val="18"/>
          <w:lang w:bidi="fr-FR"/>
        </w:rPr>
        <w:t>’</w:t>
      </w:r>
      <w:r w:rsidRPr="00AB231B">
        <w:rPr>
          <w:sz w:val="18"/>
          <w:lang w:bidi="fr-FR"/>
        </w:rPr>
        <w:t>aune des bénéfices du programme. Dans ce modèle, les risques sont acceptés lorsque l</w:t>
      </w:r>
      <w:r w:rsidR="0008241D">
        <w:rPr>
          <w:sz w:val="18"/>
          <w:lang w:bidi="fr-FR"/>
        </w:rPr>
        <w:t>’</w:t>
      </w:r>
      <w:r w:rsidRPr="00AB231B">
        <w:rPr>
          <w:sz w:val="18"/>
          <w:lang w:bidi="fr-FR"/>
        </w:rPr>
        <w:t>on estime que les avantages doivent prévaloir.</w:t>
      </w:r>
    </w:p>
  </w:footnote>
  <w:footnote w:id="3">
    <w:p w14:paraId="6A1EE46F" w14:textId="11F82662" w:rsidR="0033654B" w:rsidRPr="001811F8" w:rsidRDefault="0033654B">
      <w:pPr>
        <w:pStyle w:val="FootnoteText"/>
        <w:rPr>
          <w:sz w:val="18"/>
          <w:szCs w:val="18"/>
        </w:rPr>
      </w:pPr>
      <w:r w:rsidRPr="001811F8">
        <w:rPr>
          <w:rStyle w:val="FootnoteReference"/>
          <w:sz w:val="18"/>
          <w:lang w:bidi="fr-FR"/>
        </w:rPr>
        <w:footnoteRef/>
      </w:r>
      <w:r w:rsidRPr="001811F8">
        <w:rPr>
          <w:sz w:val="18"/>
          <w:lang w:bidi="fr-FR"/>
        </w:rPr>
        <w:t xml:space="preserve"> La cybersécurité ne relève pas de la gestion des risques sécuritaires du système de gestion de la sécurité des Nations Unies, et le PNUD gère donc lui-même les risques dans ce domaine.</w:t>
      </w:r>
    </w:p>
  </w:footnote>
  <w:footnote w:id="4">
    <w:p w14:paraId="0ADAA787" w14:textId="09A7F684" w:rsidR="004B71F9" w:rsidRDefault="004B71F9">
      <w:pPr>
        <w:pStyle w:val="FootnoteText"/>
      </w:pPr>
      <w:r w:rsidRPr="001811F8">
        <w:rPr>
          <w:rStyle w:val="FootnoteReference"/>
          <w:sz w:val="18"/>
          <w:lang w:bidi="fr-FR"/>
        </w:rPr>
        <w:footnoteRef/>
      </w:r>
      <w:r w:rsidR="00AB231B" w:rsidRPr="001811F8">
        <w:rPr>
          <w:sz w:val="18"/>
          <w:lang w:bidi="fr-FR"/>
        </w:rPr>
        <w:t>Les « trois</w:t>
      </w:r>
      <w:r w:rsidR="0008241D">
        <w:rPr>
          <w:sz w:val="18"/>
          <w:lang w:bidi="fr-FR"/>
        </w:rPr>
        <w:t xml:space="preserve"> </w:t>
      </w:r>
      <w:r w:rsidR="00AB231B" w:rsidRPr="001811F8">
        <w:rPr>
          <w:sz w:val="18"/>
          <w:lang w:bidi="fr-FR"/>
        </w:rPr>
        <w:t>lignes de maîtrise » favorisent une gestion plus efficace des risques en introduisant des règles de gouvernance et de supervision structurées qui clarifient et répartissent les rôles et les responsabilités. La première ligne est en prise directe avec le risque et le gère. La deuxième ligne de maîtrise fait référence aux entités qui sont liées au risque par leurs responsabilités de supervision, de suivi ou d</w:t>
      </w:r>
      <w:r w:rsidR="0008241D">
        <w:rPr>
          <w:sz w:val="18"/>
          <w:lang w:bidi="fr-FR"/>
        </w:rPr>
        <w:t>’</w:t>
      </w:r>
      <w:r w:rsidR="00AB231B" w:rsidRPr="001811F8">
        <w:rPr>
          <w:sz w:val="18"/>
          <w:lang w:bidi="fr-FR"/>
        </w:rPr>
        <w:t>appui technique. La troisième</w:t>
      </w:r>
      <w:r w:rsidR="0008241D">
        <w:rPr>
          <w:sz w:val="18"/>
          <w:lang w:bidi="fr-FR"/>
        </w:rPr>
        <w:t xml:space="preserve"> </w:t>
      </w:r>
      <w:r w:rsidR="00AB231B" w:rsidRPr="001811F8">
        <w:rPr>
          <w:sz w:val="18"/>
          <w:lang w:bidi="fr-FR"/>
        </w:rPr>
        <w:t>ligne, qui correspond à l</w:t>
      </w:r>
      <w:r w:rsidR="0008241D">
        <w:rPr>
          <w:sz w:val="18"/>
          <w:lang w:bidi="fr-FR"/>
        </w:rPr>
        <w:t>’</w:t>
      </w:r>
      <w:r w:rsidR="00AB231B" w:rsidRPr="001811F8">
        <w:rPr>
          <w:sz w:val="18"/>
          <w:lang w:bidi="fr-FR"/>
        </w:rPr>
        <w:t>audit interne, a vocation à garantir, en toute indépendance, que les deux premières lignes remplissent leur fonction.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6CC7" w14:textId="77777777" w:rsidR="008E6B20" w:rsidRDefault="008E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ED93" w14:textId="36130B15" w:rsidR="008E6B20" w:rsidRDefault="008E6B20" w:rsidP="008E6B20">
    <w:pPr>
      <w:pStyle w:val="Header"/>
      <w:ind w:left="9026"/>
    </w:pPr>
    <w:r>
      <w:rPr>
        <w:noProof/>
        <w:lang w:bidi="fr-FR"/>
      </w:rPr>
      <w:drawing>
        <wp:inline distT="0" distB="0" distL="0" distR="0" wp14:anchorId="139D054A" wp14:editId="09E0A780">
          <wp:extent cx="673100" cy="1025252"/>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671" cy="1036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2968" w14:textId="77777777" w:rsidR="008E6B20" w:rsidRDefault="008E6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EC2"/>
    <w:multiLevelType w:val="hybridMultilevel"/>
    <w:tmpl w:val="68AC17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91D42"/>
    <w:multiLevelType w:val="hybridMultilevel"/>
    <w:tmpl w:val="2940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F4D85"/>
    <w:multiLevelType w:val="hybridMultilevel"/>
    <w:tmpl w:val="CE447C16"/>
    <w:lvl w:ilvl="0" w:tplc="2B72FF5E">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58AF"/>
    <w:multiLevelType w:val="hybridMultilevel"/>
    <w:tmpl w:val="DF02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1F9B"/>
    <w:multiLevelType w:val="hybridMultilevel"/>
    <w:tmpl w:val="F904CA72"/>
    <w:lvl w:ilvl="0" w:tplc="B9742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F0E94"/>
    <w:multiLevelType w:val="hybridMultilevel"/>
    <w:tmpl w:val="12FEE2CE"/>
    <w:lvl w:ilvl="0" w:tplc="35AC8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BF5"/>
    <w:multiLevelType w:val="hybridMultilevel"/>
    <w:tmpl w:val="629A110A"/>
    <w:lvl w:ilvl="0" w:tplc="22A0BD82">
      <w:start w:val="1"/>
      <w:numFmt w:val="bullet"/>
      <w:lvlText w:val="•"/>
      <w:lvlJc w:val="left"/>
      <w:pPr>
        <w:tabs>
          <w:tab w:val="num" w:pos="720"/>
        </w:tabs>
        <w:ind w:left="720" w:hanging="360"/>
      </w:pPr>
      <w:rPr>
        <w:rFonts w:ascii="Arial" w:hAnsi="Arial" w:hint="default"/>
      </w:rPr>
    </w:lvl>
    <w:lvl w:ilvl="1" w:tplc="C54EC5EA" w:tentative="1">
      <w:start w:val="1"/>
      <w:numFmt w:val="bullet"/>
      <w:lvlText w:val="•"/>
      <w:lvlJc w:val="left"/>
      <w:pPr>
        <w:tabs>
          <w:tab w:val="num" w:pos="1440"/>
        </w:tabs>
        <w:ind w:left="1440" w:hanging="360"/>
      </w:pPr>
      <w:rPr>
        <w:rFonts w:ascii="Arial" w:hAnsi="Arial" w:hint="default"/>
      </w:rPr>
    </w:lvl>
    <w:lvl w:ilvl="2" w:tplc="581CB574" w:tentative="1">
      <w:start w:val="1"/>
      <w:numFmt w:val="bullet"/>
      <w:lvlText w:val="•"/>
      <w:lvlJc w:val="left"/>
      <w:pPr>
        <w:tabs>
          <w:tab w:val="num" w:pos="2160"/>
        </w:tabs>
        <w:ind w:left="2160" w:hanging="360"/>
      </w:pPr>
      <w:rPr>
        <w:rFonts w:ascii="Arial" w:hAnsi="Arial" w:hint="default"/>
      </w:rPr>
    </w:lvl>
    <w:lvl w:ilvl="3" w:tplc="D51633A4" w:tentative="1">
      <w:start w:val="1"/>
      <w:numFmt w:val="bullet"/>
      <w:lvlText w:val="•"/>
      <w:lvlJc w:val="left"/>
      <w:pPr>
        <w:tabs>
          <w:tab w:val="num" w:pos="2880"/>
        </w:tabs>
        <w:ind w:left="2880" w:hanging="360"/>
      </w:pPr>
      <w:rPr>
        <w:rFonts w:ascii="Arial" w:hAnsi="Arial" w:hint="default"/>
      </w:rPr>
    </w:lvl>
    <w:lvl w:ilvl="4" w:tplc="863C26AA" w:tentative="1">
      <w:start w:val="1"/>
      <w:numFmt w:val="bullet"/>
      <w:lvlText w:val="•"/>
      <w:lvlJc w:val="left"/>
      <w:pPr>
        <w:tabs>
          <w:tab w:val="num" w:pos="3600"/>
        </w:tabs>
        <w:ind w:left="3600" w:hanging="360"/>
      </w:pPr>
      <w:rPr>
        <w:rFonts w:ascii="Arial" w:hAnsi="Arial" w:hint="default"/>
      </w:rPr>
    </w:lvl>
    <w:lvl w:ilvl="5" w:tplc="A3AEBDC6" w:tentative="1">
      <w:start w:val="1"/>
      <w:numFmt w:val="bullet"/>
      <w:lvlText w:val="•"/>
      <w:lvlJc w:val="left"/>
      <w:pPr>
        <w:tabs>
          <w:tab w:val="num" w:pos="4320"/>
        </w:tabs>
        <w:ind w:left="4320" w:hanging="360"/>
      </w:pPr>
      <w:rPr>
        <w:rFonts w:ascii="Arial" w:hAnsi="Arial" w:hint="default"/>
      </w:rPr>
    </w:lvl>
    <w:lvl w:ilvl="6" w:tplc="02DAC298" w:tentative="1">
      <w:start w:val="1"/>
      <w:numFmt w:val="bullet"/>
      <w:lvlText w:val="•"/>
      <w:lvlJc w:val="left"/>
      <w:pPr>
        <w:tabs>
          <w:tab w:val="num" w:pos="5040"/>
        </w:tabs>
        <w:ind w:left="5040" w:hanging="360"/>
      </w:pPr>
      <w:rPr>
        <w:rFonts w:ascii="Arial" w:hAnsi="Arial" w:hint="default"/>
      </w:rPr>
    </w:lvl>
    <w:lvl w:ilvl="7" w:tplc="B1E65D82" w:tentative="1">
      <w:start w:val="1"/>
      <w:numFmt w:val="bullet"/>
      <w:lvlText w:val="•"/>
      <w:lvlJc w:val="left"/>
      <w:pPr>
        <w:tabs>
          <w:tab w:val="num" w:pos="5760"/>
        </w:tabs>
        <w:ind w:left="5760" w:hanging="360"/>
      </w:pPr>
      <w:rPr>
        <w:rFonts w:ascii="Arial" w:hAnsi="Arial" w:hint="default"/>
      </w:rPr>
    </w:lvl>
    <w:lvl w:ilvl="8" w:tplc="DDBE7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A3A11"/>
    <w:multiLevelType w:val="hybridMultilevel"/>
    <w:tmpl w:val="83888C26"/>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56C6B"/>
    <w:multiLevelType w:val="hybridMultilevel"/>
    <w:tmpl w:val="2B5C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674B1"/>
    <w:multiLevelType w:val="hybridMultilevel"/>
    <w:tmpl w:val="B4D02984"/>
    <w:lvl w:ilvl="0" w:tplc="7304CD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820192"/>
    <w:multiLevelType w:val="hybridMultilevel"/>
    <w:tmpl w:val="BF523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75A56"/>
    <w:multiLevelType w:val="hybridMultilevel"/>
    <w:tmpl w:val="E27E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5F06"/>
    <w:multiLevelType w:val="hybridMultilevel"/>
    <w:tmpl w:val="2C5AFF7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378F9"/>
    <w:multiLevelType w:val="multilevel"/>
    <w:tmpl w:val="71D208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F220D"/>
    <w:multiLevelType w:val="hybridMultilevel"/>
    <w:tmpl w:val="0656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6F7698"/>
    <w:multiLevelType w:val="hybridMultilevel"/>
    <w:tmpl w:val="DF1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15391"/>
    <w:multiLevelType w:val="hybridMultilevel"/>
    <w:tmpl w:val="562EB8B8"/>
    <w:lvl w:ilvl="0" w:tplc="09D0BE76">
      <w:start w:val="1"/>
      <w:numFmt w:val="bullet"/>
      <w:lvlText w:val="•"/>
      <w:lvlJc w:val="left"/>
      <w:pPr>
        <w:tabs>
          <w:tab w:val="num" w:pos="720"/>
        </w:tabs>
        <w:ind w:left="720" w:hanging="360"/>
      </w:pPr>
      <w:rPr>
        <w:rFonts w:ascii="Arial" w:hAnsi="Arial" w:hint="default"/>
      </w:rPr>
    </w:lvl>
    <w:lvl w:ilvl="1" w:tplc="614ABF40" w:tentative="1">
      <w:start w:val="1"/>
      <w:numFmt w:val="bullet"/>
      <w:lvlText w:val="•"/>
      <w:lvlJc w:val="left"/>
      <w:pPr>
        <w:tabs>
          <w:tab w:val="num" w:pos="1440"/>
        </w:tabs>
        <w:ind w:left="1440" w:hanging="360"/>
      </w:pPr>
      <w:rPr>
        <w:rFonts w:ascii="Arial" w:hAnsi="Arial" w:hint="default"/>
      </w:rPr>
    </w:lvl>
    <w:lvl w:ilvl="2" w:tplc="A0C6582A" w:tentative="1">
      <w:start w:val="1"/>
      <w:numFmt w:val="bullet"/>
      <w:lvlText w:val="•"/>
      <w:lvlJc w:val="left"/>
      <w:pPr>
        <w:tabs>
          <w:tab w:val="num" w:pos="2160"/>
        </w:tabs>
        <w:ind w:left="2160" w:hanging="360"/>
      </w:pPr>
      <w:rPr>
        <w:rFonts w:ascii="Arial" w:hAnsi="Arial" w:hint="default"/>
      </w:rPr>
    </w:lvl>
    <w:lvl w:ilvl="3" w:tplc="A796AFF2" w:tentative="1">
      <w:start w:val="1"/>
      <w:numFmt w:val="bullet"/>
      <w:lvlText w:val="•"/>
      <w:lvlJc w:val="left"/>
      <w:pPr>
        <w:tabs>
          <w:tab w:val="num" w:pos="2880"/>
        </w:tabs>
        <w:ind w:left="2880" w:hanging="360"/>
      </w:pPr>
      <w:rPr>
        <w:rFonts w:ascii="Arial" w:hAnsi="Arial" w:hint="default"/>
      </w:rPr>
    </w:lvl>
    <w:lvl w:ilvl="4" w:tplc="46A0F42C" w:tentative="1">
      <w:start w:val="1"/>
      <w:numFmt w:val="bullet"/>
      <w:lvlText w:val="•"/>
      <w:lvlJc w:val="left"/>
      <w:pPr>
        <w:tabs>
          <w:tab w:val="num" w:pos="3600"/>
        </w:tabs>
        <w:ind w:left="3600" w:hanging="360"/>
      </w:pPr>
      <w:rPr>
        <w:rFonts w:ascii="Arial" w:hAnsi="Arial" w:hint="default"/>
      </w:rPr>
    </w:lvl>
    <w:lvl w:ilvl="5" w:tplc="F3BAB4AA" w:tentative="1">
      <w:start w:val="1"/>
      <w:numFmt w:val="bullet"/>
      <w:lvlText w:val="•"/>
      <w:lvlJc w:val="left"/>
      <w:pPr>
        <w:tabs>
          <w:tab w:val="num" w:pos="4320"/>
        </w:tabs>
        <w:ind w:left="4320" w:hanging="360"/>
      </w:pPr>
      <w:rPr>
        <w:rFonts w:ascii="Arial" w:hAnsi="Arial" w:hint="default"/>
      </w:rPr>
    </w:lvl>
    <w:lvl w:ilvl="6" w:tplc="4AE4A20C" w:tentative="1">
      <w:start w:val="1"/>
      <w:numFmt w:val="bullet"/>
      <w:lvlText w:val="•"/>
      <w:lvlJc w:val="left"/>
      <w:pPr>
        <w:tabs>
          <w:tab w:val="num" w:pos="5040"/>
        </w:tabs>
        <w:ind w:left="5040" w:hanging="360"/>
      </w:pPr>
      <w:rPr>
        <w:rFonts w:ascii="Arial" w:hAnsi="Arial" w:hint="default"/>
      </w:rPr>
    </w:lvl>
    <w:lvl w:ilvl="7" w:tplc="1AC20E76" w:tentative="1">
      <w:start w:val="1"/>
      <w:numFmt w:val="bullet"/>
      <w:lvlText w:val="•"/>
      <w:lvlJc w:val="left"/>
      <w:pPr>
        <w:tabs>
          <w:tab w:val="num" w:pos="5760"/>
        </w:tabs>
        <w:ind w:left="5760" w:hanging="360"/>
      </w:pPr>
      <w:rPr>
        <w:rFonts w:ascii="Arial" w:hAnsi="Arial" w:hint="default"/>
      </w:rPr>
    </w:lvl>
    <w:lvl w:ilvl="8" w:tplc="2C0088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87E2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01D34"/>
    <w:multiLevelType w:val="hybridMultilevel"/>
    <w:tmpl w:val="F6CA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43E9C"/>
    <w:multiLevelType w:val="multilevel"/>
    <w:tmpl w:val="6E4CF0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0170593">
    <w:abstractNumId w:val="19"/>
  </w:num>
  <w:num w:numId="2" w16cid:durableId="1124732815">
    <w:abstractNumId w:val="12"/>
  </w:num>
  <w:num w:numId="3" w16cid:durableId="1209756477">
    <w:abstractNumId w:val="6"/>
  </w:num>
  <w:num w:numId="4" w16cid:durableId="1231307201">
    <w:abstractNumId w:val="21"/>
  </w:num>
  <w:num w:numId="5" w16cid:durableId="1489861492">
    <w:abstractNumId w:val="9"/>
  </w:num>
  <w:num w:numId="6" w16cid:durableId="908461674">
    <w:abstractNumId w:val="5"/>
  </w:num>
  <w:num w:numId="7" w16cid:durableId="2095588881">
    <w:abstractNumId w:val="17"/>
  </w:num>
  <w:num w:numId="8" w16cid:durableId="1035152900">
    <w:abstractNumId w:val="13"/>
  </w:num>
  <w:num w:numId="9" w16cid:durableId="1768764841">
    <w:abstractNumId w:val="15"/>
  </w:num>
  <w:num w:numId="10" w16cid:durableId="1100417911">
    <w:abstractNumId w:val="7"/>
  </w:num>
  <w:num w:numId="11" w16cid:durableId="1678802084">
    <w:abstractNumId w:val="2"/>
  </w:num>
  <w:num w:numId="12" w16cid:durableId="1751468347">
    <w:abstractNumId w:val="0"/>
  </w:num>
  <w:num w:numId="13" w16cid:durableId="981618368">
    <w:abstractNumId w:val="20"/>
  </w:num>
  <w:num w:numId="14" w16cid:durableId="3094876">
    <w:abstractNumId w:val="23"/>
  </w:num>
  <w:num w:numId="15" w16cid:durableId="2084258281">
    <w:abstractNumId w:val="14"/>
  </w:num>
  <w:num w:numId="16" w16cid:durableId="1461531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028782">
    <w:abstractNumId w:val="8"/>
  </w:num>
  <w:num w:numId="18" w16cid:durableId="2112237076">
    <w:abstractNumId w:val="22"/>
  </w:num>
  <w:num w:numId="19" w16cid:durableId="1748376661">
    <w:abstractNumId w:val="4"/>
  </w:num>
  <w:num w:numId="20" w16cid:durableId="616331628">
    <w:abstractNumId w:val="3"/>
  </w:num>
  <w:num w:numId="21" w16cid:durableId="584609913">
    <w:abstractNumId w:val="11"/>
  </w:num>
  <w:num w:numId="22" w16cid:durableId="1368873769">
    <w:abstractNumId w:val="18"/>
  </w:num>
  <w:num w:numId="23" w16cid:durableId="1399017184">
    <w:abstractNumId w:val="1"/>
  </w:num>
  <w:num w:numId="24" w16cid:durableId="370347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49"/>
    <w:rsid w:val="00002370"/>
    <w:rsid w:val="00015A13"/>
    <w:rsid w:val="00017964"/>
    <w:rsid w:val="00027E20"/>
    <w:rsid w:val="00033FAB"/>
    <w:rsid w:val="00035DF1"/>
    <w:rsid w:val="00036E05"/>
    <w:rsid w:val="0004124F"/>
    <w:rsid w:val="00053C3F"/>
    <w:rsid w:val="000643EF"/>
    <w:rsid w:val="0006580A"/>
    <w:rsid w:val="00073043"/>
    <w:rsid w:val="00073D44"/>
    <w:rsid w:val="00075C1A"/>
    <w:rsid w:val="0008241D"/>
    <w:rsid w:val="00085235"/>
    <w:rsid w:val="00090892"/>
    <w:rsid w:val="00092F49"/>
    <w:rsid w:val="0009469F"/>
    <w:rsid w:val="000A11B4"/>
    <w:rsid w:val="000A3A1F"/>
    <w:rsid w:val="000C29C0"/>
    <w:rsid w:val="000C35B2"/>
    <w:rsid w:val="000C5099"/>
    <w:rsid w:val="000C623A"/>
    <w:rsid w:val="000D2BA0"/>
    <w:rsid w:val="000D2D51"/>
    <w:rsid w:val="000D4951"/>
    <w:rsid w:val="000D6174"/>
    <w:rsid w:val="000E4F6E"/>
    <w:rsid w:val="000F07E6"/>
    <w:rsid w:val="000F08CC"/>
    <w:rsid w:val="00100469"/>
    <w:rsid w:val="00111E66"/>
    <w:rsid w:val="00113CA0"/>
    <w:rsid w:val="00131216"/>
    <w:rsid w:val="00147518"/>
    <w:rsid w:val="0015094C"/>
    <w:rsid w:val="001542E5"/>
    <w:rsid w:val="001729BC"/>
    <w:rsid w:val="001811F8"/>
    <w:rsid w:val="00181B9A"/>
    <w:rsid w:val="001832F6"/>
    <w:rsid w:val="001949D3"/>
    <w:rsid w:val="001A1447"/>
    <w:rsid w:val="001A1927"/>
    <w:rsid w:val="001A4DF6"/>
    <w:rsid w:val="001B10F1"/>
    <w:rsid w:val="001B1170"/>
    <w:rsid w:val="001B5535"/>
    <w:rsid w:val="001B7603"/>
    <w:rsid w:val="001B7B2B"/>
    <w:rsid w:val="001C308D"/>
    <w:rsid w:val="001D06AD"/>
    <w:rsid w:val="001E0C3A"/>
    <w:rsid w:val="001E2CDC"/>
    <w:rsid w:val="001E46F4"/>
    <w:rsid w:val="001F63F9"/>
    <w:rsid w:val="0020053A"/>
    <w:rsid w:val="002025E9"/>
    <w:rsid w:val="00206230"/>
    <w:rsid w:val="00211E9C"/>
    <w:rsid w:val="00216DB2"/>
    <w:rsid w:val="002221EE"/>
    <w:rsid w:val="0022271D"/>
    <w:rsid w:val="00222F86"/>
    <w:rsid w:val="0022322F"/>
    <w:rsid w:val="00237013"/>
    <w:rsid w:val="00250434"/>
    <w:rsid w:val="00250D4B"/>
    <w:rsid w:val="00255022"/>
    <w:rsid w:val="002559FC"/>
    <w:rsid w:val="00262C43"/>
    <w:rsid w:val="00271BDE"/>
    <w:rsid w:val="00285C7E"/>
    <w:rsid w:val="00290613"/>
    <w:rsid w:val="00291064"/>
    <w:rsid w:val="002A0A28"/>
    <w:rsid w:val="002A0EF3"/>
    <w:rsid w:val="002A63C5"/>
    <w:rsid w:val="002B1E0A"/>
    <w:rsid w:val="002B63F2"/>
    <w:rsid w:val="002C3F00"/>
    <w:rsid w:val="002C6201"/>
    <w:rsid w:val="002D002A"/>
    <w:rsid w:val="002D3EC6"/>
    <w:rsid w:val="002D4867"/>
    <w:rsid w:val="002D5874"/>
    <w:rsid w:val="002D751E"/>
    <w:rsid w:val="002F2EFD"/>
    <w:rsid w:val="002F3FF0"/>
    <w:rsid w:val="002F6522"/>
    <w:rsid w:val="00302E4C"/>
    <w:rsid w:val="003032CB"/>
    <w:rsid w:val="0033654B"/>
    <w:rsid w:val="003515F0"/>
    <w:rsid w:val="0036444A"/>
    <w:rsid w:val="00364FC5"/>
    <w:rsid w:val="0036724D"/>
    <w:rsid w:val="003745F2"/>
    <w:rsid w:val="00374AE4"/>
    <w:rsid w:val="00375EE7"/>
    <w:rsid w:val="003850A7"/>
    <w:rsid w:val="00395576"/>
    <w:rsid w:val="003A4D3B"/>
    <w:rsid w:val="003B3BA4"/>
    <w:rsid w:val="003B4597"/>
    <w:rsid w:val="003B5D46"/>
    <w:rsid w:val="003C01B9"/>
    <w:rsid w:val="003C117A"/>
    <w:rsid w:val="003E4CF6"/>
    <w:rsid w:val="003F0AD3"/>
    <w:rsid w:val="00407622"/>
    <w:rsid w:val="00411922"/>
    <w:rsid w:val="0041340B"/>
    <w:rsid w:val="004135F1"/>
    <w:rsid w:val="004175AA"/>
    <w:rsid w:val="00420A3B"/>
    <w:rsid w:val="00420F77"/>
    <w:rsid w:val="00430A38"/>
    <w:rsid w:val="00431822"/>
    <w:rsid w:val="00436FA0"/>
    <w:rsid w:val="004470B2"/>
    <w:rsid w:val="0045306C"/>
    <w:rsid w:val="00460A80"/>
    <w:rsid w:val="00476519"/>
    <w:rsid w:val="00481B8E"/>
    <w:rsid w:val="00483619"/>
    <w:rsid w:val="00486616"/>
    <w:rsid w:val="00487617"/>
    <w:rsid w:val="0049760F"/>
    <w:rsid w:val="004A0F59"/>
    <w:rsid w:val="004A22E5"/>
    <w:rsid w:val="004A406C"/>
    <w:rsid w:val="004B11A2"/>
    <w:rsid w:val="004B5472"/>
    <w:rsid w:val="004B56FC"/>
    <w:rsid w:val="004B71F9"/>
    <w:rsid w:val="004C2539"/>
    <w:rsid w:val="004C5B63"/>
    <w:rsid w:val="004C72F9"/>
    <w:rsid w:val="004D1DA6"/>
    <w:rsid w:val="004D6918"/>
    <w:rsid w:val="004F07DD"/>
    <w:rsid w:val="004F59D8"/>
    <w:rsid w:val="004F692F"/>
    <w:rsid w:val="004F69A7"/>
    <w:rsid w:val="00501FAE"/>
    <w:rsid w:val="00504AEF"/>
    <w:rsid w:val="00510AAB"/>
    <w:rsid w:val="00523F13"/>
    <w:rsid w:val="005277A2"/>
    <w:rsid w:val="00530297"/>
    <w:rsid w:val="00531DD4"/>
    <w:rsid w:val="00533554"/>
    <w:rsid w:val="00545CF9"/>
    <w:rsid w:val="005472AB"/>
    <w:rsid w:val="00550433"/>
    <w:rsid w:val="00553FC9"/>
    <w:rsid w:val="00566F99"/>
    <w:rsid w:val="00576EA3"/>
    <w:rsid w:val="005814CE"/>
    <w:rsid w:val="00583C0A"/>
    <w:rsid w:val="00586297"/>
    <w:rsid w:val="005A08CD"/>
    <w:rsid w:val="005A79F8"/>
    <w:rsid w:val="005B66BC"/>
    <w:rsid w:val="005D3ECF"/>
    <w:rsid w:val="005D7096"/>
    <w:rsid w:val="005E4D88"/>
    <w:rsid w:val="00601D31"/>
    <w:rsid w:val="00611FFD"/>
    <w:rsid w:val="00613C5A"/>
    <w:rsid w:val="00622E4A"/>
    <w:rsid w:val="00627C2E"/>
    <w:rsid w:val="00636FC4"/>
    <w:rsid w:val="00651AD3"/>
    <w:rsid w:val="00652387"/>
    <w:rsid w:val="00655207"/>
    <w:rsid w:val="0065721A"/>
    <w:rsid w:val="006775E9"/>
    <w:rsid w:val="006938C8"/>
    <w:rsid w:val="00697002"/>
    <w:rsid w:val="006A039D"/>
    <w:rsid w:val="006C4C3D"/>
    <w:rsid w:val="006D2FB4"/>
    <w:rsid w:val="006E123B"/>
    <w:rsid w:val="006E3DA5"/>
    <w:rsid w:val="006E7C3F"/>
    <w:rsid w:val="006F05E1"/>
    <w:rsid w:val="006F5B25"/>
    <w:rsid w:val="006F71EB"/>
    <w:rsid w:val="006F79E8"/>
    <w:rsid w:val="00710944"/>
    <w:rsid w:val="007176B9"/>
    <w:rsid w:val="0072770D"/>
    <w:rsid w:val="00735C31"/>
    <w:rsid w:val="0073735E"/>
    <w:rsid w:val="00737A4A"/>
    <w:rsid w:val="00740DC1"/>
    <w:rsid w:val="0074789C"/>
    <w:rsid w:val="00752700"/>
    <w:rsid w:val="00752E03"/>
    <w:rsid w:val="0075400D"/>
    <w:rsid w:val="007548EE"/>
    <w:rsid w:val="00757B43"/>
    <w:rsid w:val="007612A9"/>
    <w:rsid w:val="007618EF"/>
    <w:rsid w:val="00763DE1"/>
    <w:rsid w:val="00766197"/>
    <w:rsid w:val="0077138C"/>
    <w:rsid w:val="00774453"/>
    <w:rsid w:val="007776E6"/>
    <w:rsid w:val="00781B40"/>
    <w:rsid w:val="00784BBB"/>
    <w:rsid w:val="00786ECB"/>
    <w:rsid w:val="007B0CA1"/>
    <w:rsid w:val="007B2143"/>
    <w:rsid w:val="007B2384"/>
    <w:rsid w:val="007B256B"/>
    <w:rsid w:val="007B5106"/>
    <w:rsid w:val="007B7A79"/>
    <w:rsid w:val="007C3115"/>
    <w:rsid w:val="007D1FAE"/>
    <w:rsid w:val="007D22FF"/>
    <w:rsid w:val="007D47CA"/>
    <w:rsid w:val="007D5EF1"/>
    <w:rsid w:val="007E6246"/>
    <w:rsid w:val="007E69B1"/>
    <w:rsid w:val="007E75BF"/>
    <w:rsid w:val="007F4A12"/>
    <w:rsid w:val="007F5B4A"/>
    <w:rsid w:val="00800DF0"/>
    <w:rsid w:val="00801B83"/>
    <w:rsid w:val="00810EBD"/>
    <w:rsid w:val="00811D4B"/>
    <w:rsid w:val="00822AE1"/>
    <w:rsid w:val="00823C51"/>
    <w:rsid w:val="008359C3"/>
    <w:rsid w:val="00836B30"/>
    <w:rsid w:val="008376A9"/>
    <w:rsid w:val="00843D8E"/>
    <w:rsid w:val="00845C1B"/>
    <w:rsid w:val="00853B22"/>
    <w:rsid w:val="00854998"/>
    <w:rsid w:val="008573D2"/>
    <w:rsid w:val="00860E81"/>
    <w:rsid w:val="00866616"/>
    <w:rsid w:val="008678D9"/>
    <w:rsid w:val="00871D0E"/>
    <w:rsid w:val="0087755F"/>
    <w:rsid w:val="0088192A"/>
    <w:rsid w:val="00887B5D"/>
    <w:rsid w:val="00893E60"/>
    <w:rsid w:val="008940E8"/>
    <w:rsid w:val="00897F75"/>
    <w:rsid w:val="008A11D5"/>
    <w:rsid w:val="008A191F"/>
    <w:rsid w:val="008A475B"/>
    <w:rsid w:val="008B0889"/>
    <w:rsid w:val="008B21A9"/>
    <w:rsid w:val="008B4A27"/>
    <w:rsid w:val="008B5010"/>
    <w:rsid w:val="008C1C93"/>
    <w:rsid w:val="008C26DB"/>
    <w:rsid w:val="008C362E"/>
    <w:rsid w:val="008E3A2A"/>
    <w:rsid w:val="008E40C1"/>
    <w:rsid w:val="008E5439"/>
    <w:rsid w:val="008E5D66"/>
    <w:rsid w:val="008E6B20"/>
    <w:rsid w:val="008F0B2D"/>
    <w:rsid w:val="008F11CD"/>
    <w:rsid w:val="00900335"/>
    <w:rsid w:val="0092396F"/>
    <w:rsid w:val="00925062"/>
    <w:rsid w:val="009303CF"/>
    <w:rsid w:val="009374F2"/>
    <w:rsid w:val="00943ECE"/>
    <w:rsid w:val="00946300"/>
    <w:rsid w:val="00950C06"/>
    <w:rsid w:val="00954E40"/>
    <w:rsid w:val="009570D2"/>
    <w:rsid w:val="00965EB2"/>
    <w:rsid w:val="009763EA"/>
    <w:rsid w:val="00981FB4"/>
    <w:rsid w:val="00990107"/>
    <w:rsid w:val="0099041C"/>
    <w:rsid w:val="009911CB"/>
    <w:rsid w:val="009A37A1"/>
    <w:rsid w:val="009A4DD8"/>
    <w:rsid w:val="009B3732"/>
    <w:rsid w:val="009B4D3E"/>
    <w:rsid w:val="009B54ED"/>
    <w:rsid w:val="009C2DFD"/>
    <w:rsid w:val="009D5A05"/>
    <w:rsid w:val="009D6426"/>
    <w:rsid w:val="009D6FA5"/>
    <w:rsid w:val="009E2044"/>
    <w:rsid w:val="009E23BA"/>
    <w:rsid w:val="009F17D1"/>
    <w:rsid w:val="00A0030C"/>
    <w:rsid w:val="00A04288"/>
    <w:rsid w:val="00A160D4"/>
    <w:rsid w:val="00A2225E"/>
    <w:rsid w:val="00A22B14"/>
    <w:rsid w:val="00A22EB6"/>
    <w:rsid w:val="00A236DB"/>
    <w:rsid w:val="00A247BE"/>
    <w:rsid w:val="00A24C33"/>
    <w:rsid w:val="00A26870"/>
    <w:rsid w:val="00A26CA2"/>
    <w:rsid w:val="00A3161E"/>
    <w:rsid w:val="00A352DF"/>
    <w:rsid w:val="00A3574C"/>
    <w:rsid w:val="00A37B20"/>
    <w:rsid w:val="00A45A06"/>
    <w:rsid w:val="00A4669A"/>
    <w:rsid w:val="00A517F5"/>
    <w:rsid w:val="00A61628"/>
    <w:rsid w:val="00A61996"/>
    <w:rsid w:val="00A7421B"/>
    <w:rsid w:val="00A75612"/>
    <w:rsid w:val="00A84C7E"/>
    <w:rsid w:val="00A97EC3"/>
    <w:rsid w:val="00AA522E"/>
    <w:rsid w:val="00AA5424"/>
    <w:rsid w:val="00AB0B53"/>
    <w:rsid w:val="00AB231B"/>
    <w:rsid w:val="00AB2E8D"/>
    <w:rsid w:val="00AB53C4"/>
    <w:rsid w:val="00AC0E28"/>
    <w:rsid w:val="00AD4660"/>
    <w:rsid w:val="00AD5FE9"/>
    <w:rsid w:val="00AD78BA"/>
    <w:rsid w:val="00AF3CE3"/>
    <w:rsid w:val="00AF7403"/>
    <w:rsid w:val="00B01D03"/>
    <w:rsid w:val="00B0331C"/>
    <w:rsid w:val="00B20BC6"/>
    <w:rsid w:val="00B3320C"/>
    <w:rsid w:val="00B333F6"/>
    <w:rsid w:val="00B46735"/>
    <w:rsid w:val="00B52ADE"/>
    <w:rsid w:val="00B5519D"/>
    <w:rsid w:val="00B567A8"/>
    <w:rsid w:val="00B6754C"/>
    <w:rsid w:val="00B67B5A"/>
    <w:rsid w:val="00B70A8B"/>
    <w:rsid w:val="00B726BE"/>
    <w:rsid w:val="00B7313D"/>
    <w:rsid w:val="00B776F1"/>
    <w:rsid w:val="00B85A6F"/>
    <w:rsid w:val="00B9289B"/>
    <w:rsid w:val="00BA4DD3"/>
    <w:rsid w:val="00BA521D"/>
    <w:rsid w:val="00BB3E22"/>
    <w:rsid w:val="00BD10B3"/>
    <w:rsid w:val="00BD307D"/>
    <w:rsid w:val="00BD3882"/>
    <w:rsid w:val="00BE4E17"/>
    <w:rsid w:val="00BE59D2"/>
    <w:rsid w:val="00BE7904"/>
    <w:rsid w:val="00BF0C99"/>
    <w:rsid w:val="00BF481A"/>
    <w:rsid w:val="00BF557C"/>
    <w:rsid w:val="00BFEFB5"/>
    <w:rsid w:val="00C05852"/>
    <w:rsid w:val="00C111BF"/>
    <w:rsid w:val="00C1484B"/>
    <w:rsid w:val="00C15914"/>
    <w:rsid w:val="00C15A73"/>
    <w:rsid w:val="00C214C7"/>
    <w:rsid w:val="00C2197A"/>
    <w:rsid w:val="00C23659"/>
    <w:rsid w:val="00C30B49"/>
    <w:rsid w:val="00C357B1"/>
    <w:rsid w:val="00C37545"/>
    <w:rsid w:val="00C43050"/>
    <w:rsid w:val="00C45E00"/>
    <w:rsid w:val="00C51AF5"/>
    <w:rsid w:val="00C534B5"/>
    <w:rsid w:val="00C54868"/>
    <w:rsid w:val="00C56A28"/>
    <w:rsid w:val="00C57F7B"/>
    <w:rsid w:val="00C664EF"/>
    <w:rsid w:val="00C67F5F"/>
    <w:rsid w:val="00C7169C"/>
    <w:rsid w:val="00C75E31"/>
    <w:rsid w:val="00C80D77"/>
    <w:rsid w:val="00C8550E"/>
    <w:rsid w:val="00C90672"/>
    <w:rsid w:val="00C92811"/>
    <w:rsid w:val="00C93AEE"/>
    <w:rsid w:val="00C93C46"/>
    <w:rsid w:val="00CA19B6"/>
    <w:rsid w:val="00CA1FB5"/>
    <w:rsid w:val="00CA4599"/>
    <w:rsid w:val="00CA582E"/>
    <w:rsid w:val="00CA5A26"/>
    <w:rsid w:val="00CA76FB"/>
    <w:rsid w:val="00CB08C0"/>
    <w:rsid w:val="00CB1B16"/>
    <w:rsid w:val="00CB3ABA"/>
    <w:rsid w:val="00CC25BF"/>
    <w:rsid w:val="00CC33CA"/>
    <w:rsid w:val="00CC618F"/>
    <w:rsid w:val="00CD07AF"/>
    <w:rsid w:val="00CD1C74"/>
    <w:rsid w:val="00CD454C"/>
    <w:rsid w:val="00CD58F8"/>
    <w:rsid w:val="00CD6800"/>
    <w:rsid w:val="00CE02AB"/>
    <w:rsid w:val="00CE1C37"/>
    <w:rsid w:val="00CE666A"/>
    <w:rsid w:val="00CE714C"/>
    <w:rsid w:val="00CF0C8C"/>
    <w:rsid w:val="00CF11AE"/>
    <w:rsid w:val="00CF6511"/>
    <w:rsid w:val="00D073BD"/>
    <w:rsid w:val="00D17829"/>
    <w:rsid w:val="00D17D4B"/>
    <w:rsid w:val="00D2380E"/>
    <w:rsid w:val="00D24E7B"/>
    <w:rsid w:val="00D5260F"/>
    <w:rsid w:val="00D6684C"/>
    <w:rsid w:val="00D66F0C"/>
    <w:rsid w:val="00D73980"/>
    <w:rsid w:val="00D74B5B"/>
    <w:rsid w:val="00D760F8"/>
    <w:rsid w:val="00D77EC2"/>
    <w:rsid w:val="00D9228E"/>
    <w:rsid w:val="00DA1DA7"/>
    <w:rsid w:val="00DB719D"/>
    <w:rsid w:val="00DC194A"/>
    <w:rsid w:val="00DC67A7"/>
    <w:rsid w:val="00DC77C7"/>
    <w:rsid w:val="00DC7FC3"/>
    <w:rsid w:val="00DD0DD4"/>
    <w:rsid w:val="00DE010A"/>
    <w:rsid w:val="00E02514"/>
    <w:rsid w:val="00E03777"/>
    <w:rsid w:val="00E0534B"/>
    <w:rsid w:val="00E13E94"/>
    <w:rsid w:val="00E30641"/>
    <w:rsid w:val="00E35D60"/>
    <w:rsid w:val="00E403E3"/>
    <w:rsid w:val="00E525A6"/>
    <w:rsid w:val="00E53885"/>
    <w:rsid w:val="00E546C4"/>
    <w:rsid w:val="00E72ABB"/>
    <w:rsid w:val="00E74B3D"/>
    <w:rsid w:val="00E83772"/>
    <w:rsid w:val="00E85F2B"/>
    <w:rsid w:val="00E86AA8"/>
    <w:rsid w:val="00E90931"/>
    <w:rsid w:val="00E96B1B"/>
    <w:rsid w:val="00E97CAD"/>
    <w:rsid w:val="00E97FB7"/>
    <w:rsid w:val="00EB13E4"/>
    <w:rsid w:val="00EC0378"/>
    <w:rsid w:val="00EC04BC"/>
    <w:rsid w:val="00EC2DF5"/>
    <w:rsid w:val="00ED0D29"/>
    <w:rsid w:val="00ED1F56"/>
    <w:rsid w:val="00EE31A8"/>
    <w:rsid w:val="00EE4AD6"/>
    <w:rsid w:val="00EE56CD"/>
    <w:rsid w:val="00F11096"/>
    <w:rsid w:val="00F1503A"/>
    <w:rsid w:val="00F17A1F"/>
    <w:rsid w:val="00F20C15"/>
    <w:rsid w:val="00F21117"/>
    <w:rsid w:val="00F36C89"/>
    <w:rsid w:val="00F4593D"/>
    <w:rsid w:val="00F53462"/>
    <w:rsid w:val="00F53AD1"/>
    <w:rsid w:val="00F5706A"/>
    <w:rsid w:val="00F70BA0"/>
    <w:rsid w:val="00F737F9"/>
    <w:rsid w:val="00F74900"/>
    <w:rsid w:val="00F76E4A"/>
    <w:rsid w:val="00F90F0A"/>
    <w:rsid w:val="00F957B0"/>
    <w:rsid w:val="00FA0B35"/>
    <w:rsid w:val="00FA2419"/>
    <w:rsid w:val="00FA439D"/>
    <w:rsid w:val="00FC17F8"/>
    <w:rsid w:val="00FC2512"/>
    <w:rsid w:val="00FC3F6B"/>
    <w:rsid w:val="00FC4CA9"/>
    <w:rsid w:val="00FC7DF5"/>
    <w:rsid w:val="00FD1BA8"/>
    <w:rsid w:val="00FD3BED"/>
    <w:rsid w:val="00FD465A"/>
    <w:rsid w:val="00FD573E"/>
    <w:rsid w:val="00FD6994"/>
    <w:rsid w:val="00FE047E"/>
    <w:rsid w:val="00FF788E"/>
    <w:rsid w:val="0CE8B703"/>
    <w:rsid w:val="0E04238A"/>
    <w:rsid w:val="60D2A5F0"/>
    <w:rsid w:val="61CACD70"/>
    <w:rsid w:val="623262FC"/>
    <w:rsid w:val="77C67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888"/>
  <w15:chartTrackingRefBased/>
  <w15:docId w15:val="{4904964E-E3B6-467D-BED0-0ABBB63B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2B"/>
  </w:style>
  <w:style w:type="paragraph" w:styleId="Heading1">
    <w:name w:val="heading 1"/>
    <w:basedOn w:val="Normal"/>
    <w:next w:val="Normal"/>
    <w:link w:val="Heading1Char"/>
    <w:uiPriority w:val="9"/>
    <w:qFormat/>
    <w:rsid w:val="00E5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D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49"/>
    <w:rPr>
      <w:rFonts w:ascii="Segoe UI" w:hAnsi="Segoe UI" w:cs="Segoe UI"/>
      <w:sz w:val="18"/>
      <w:szCs w:val="18"/>
    </w:rPr>
  </w:style>
  <w:style w:type="paragraph" w:customStyle="1" w:styleId="Default">
    <w:name w:val="Default"/>
    <w:rsid w:val="003F0AD3"/>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854998"/>
    <w:pPr>
      <w:spacing w:after="0" w:line="240" w:lineRule="auto"/>
    </w:pPr>
  </w:style>
  <w:style w:type="paragraph" w:styleId="NormalWeb">
    <w:name w:val="Normal (Web)"/>
    <w:basedOn w:val="Normal"/>
    <w:uiPriority w:val="99"/>
    <w:unhideWhenUsed/>
    <w:rsid w:val="004F69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641"/>
    <w:rPr>
      <w:sz w:val="16"/>
      <w:szCs w:val="16"/>
    </w:rPr>
  </w:style>
  <w:style w:type="paragraph" w:styleId="CommentText">
    <w:name w:val="annotation text"/>
    <w:basedOn w:val="Normal"/>
    <w:link w:val="CommentTextChar"/>
    <w:uiPriority w:val="99"/>
    <w:unhideWhenUsed/>
    <w:rsid w:val="00E30641"/>
    <w:pPr>
      <w:spacing w:line="240" w:lineRule="auto"/>
    </w:pPr>
    <w:rPr>
      <w:sz w:val="20"/>
      <w:szCs w:val="20"/>
    </w:rPr>
  </w:style>
  <w:style w:type="character" w:customStyle="1" w:styleId="CommentTextChar">
    <w:name w:val="Comment Text Char"/>
    <w:basedOn w:val="DefaultParagraphFont"/>
    <w:link w:val="CommentText"/>
    <w:uiPriority w:val="99"/>
    <w:rsid w:val="00E30641"/>
    <w:rPr>
      <w:sz w:val="20"/>
      <w:szCs w:val="20"/>
    </w:rPr>
  </w:style>
  <w:style w:type="paragraph" w:styleId="CommentSubject">
    <w:name w:val="annotation subject"/>
    <w:basedOn w:val="CommentText"/>
    <w:next w:val="CommentText"/>
    <w:link w:val="CommentSubjectChar"/>
    <w:uiPriority w:val="99"/>
    <w:semiHidden/>
    <w:unhideWhenUsed/>
    <w:rsid w:val="00E30641"/>
    <w:rPr>
      <w:b/>
      <w:bCs/>
    </w:rPr>
  </w:style>
  <w:style w:type="character" w:customStyle="1" w:styleId="CommentSubjectChar">
    <w:name w:val="Comment Subject Char"/>
    <w:basedOn w:val="CommentTextChar"/>
    <w:link w:val="CommentSubject"/>
    <w:uiPriority w:val="99"/>
    <w:semiHidden/>
    <w:rsid w:val="00E30641"/>
    <w:rPr>
      <w:b/>
      <w:bCs/>
      <w:sz w:val="20"/>
      <w:szCs w:val="20"/>
    </w:rPr>
  </w:style>
  <w:style w:type="paragraph" w:styleId="ListParagraph">
    <w:name w:val="List Paragraph"/>
    <w:basedOn w:val="Normal"/>
    <w:uiPriority w:val="34"/>
    <w:qFormat/>
    <w:rsid w:val="00C7169C"/>
    <w:pPr>
      <w:ind w:left="720"/>
      <w:contextualSpacing/>
    </w:pPr>
  </w:style>
  <w:style w:type="paragraph" w:styleId="Revision">
    <w:name w:val="Revision"/>
    <w:hidden/>
    <w:uiPriority w:val="99"/>
    <w:semiHidden/>
    <w:rsid w:val="00B3320C"/>
    <w:pPr>
      <w:spacing w:after="0" w:line="240" w:lineRule="auto"/>
    </w:pPr>
  </w:style>
  <w:style w:type="table" w:styleId="TableGrid">
    <w:name w:val="Table Grid"/>
    <w:basedOn w:val="TableNormal"/>
    <w:uiPriority w:val="39"/>
    <w:rsid w:val="00E8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E85F2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uiPriority w:val="9"/>
    <w:rsid w:val="00E546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3D4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73D44"/>
    <w:pPr>
      <w:outlineLvl w:val="9"/>
    </w:pPr>
  </w:style>
  <w:style w:type="paragraph" w:styleId="TOC1">
    <w:name w:val="toc 1"/>
    <w:basedOn w:val="Normal"/>
    <w:next w:val="Normal"/>
    <w:autoRedefine/>
    <w:uiPriority w:val="39"/>
    <w:unhideWhenUsed/>
    <w:rsid w:val="00073D44"/>
    <w:pPr>
      <w:spacing w:after="100"/>
    </w:pPr>
  </w:style>
  <w:style w:type="paragraph" w:styleId="TOC2">
    <w:name w:val="toc 2"/>
    <w:basedOn w:val="Normal"/>
    <w:next w:val="Normal"/>
    <w:autoRedefine/>
    <w:uiPriority w:val="39"/>
    <w:unhideWhenUsed/>
    <w:rsid w:val="00AD4660"/>
    <w:pPr>
      <w:tabs>
        <w:tab w:val="left" w:pos="426"/>
        <w:tab w:val="right" w:leader="dot" w:pos="9350"/>
      </w:tabs>
      <w:spacing w:after="100"/>
    </w:pPr>
  </w:style>
  <w:style w:type="character" w:styleId="Hyperlink">
    <w:name w:val="Hyperlink"/>
    <w:basedOn w:val="DefaultParagraphFont"/>
    <w:uiPriority w:val="99"/>
    <w:unhideWhenUsed/>
    <w:rsid w:val="00073D44"/>
    <w:rPr>
      <w:color w:val="0563C1" w:themeColor="hyperlink"/>
      <w:u w:val="single"/>
    </w:rPr>
  </w:style>
  <w:style w:type="character" w:customStyle="1" w:styleId="Heading3Char">
    <w:name w:val="Heading 3 Char"/>
    <w:basedOn w:val="DefaultParagraphFont"/>
    <w:link w:val="Heading3"/>
    <w:uiPriority w:val="9"/>
    <w:rsid w:val="00073D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3D4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81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B8E"/>
    <w:rPr>
      <w:sz w:val="20"/>
      <w:szCs w:val="20"/>
    </w:rPr>
  </w:style>
  <w:style w:type="character" w:styleId="FootnoteReference">
    <w:name w:val="footnote reference"/>
    <w:basedOn w:val="DefaultParagraphFont"/>
    <w:uiPriority w:val="99"/>
    <w:semiHidden/>
    <w:unhideWhenUsed/>
    <w:rsid w:val="00481B8E"/>
    <w:rPr>
      <w:vertAlign w:val="superscript"/>
    </w:rPr>
  </w:style>
  <w:style w:type="paragraph" w:styleId="TOC3">
    <w:name w:val="toc 3"/>
    <w:basedOn w:val="Normal"/>
    <w:next w:val="Normal"/>
    <w:autoRedefine/>
    <w:uiPriority w:val="39"/>
    <w:unhideWhenUsed/>
    <w:rsid w:val="00FA0B35"/>
    <w:pPr>
      <w:spacing w:after="100"/>
      <w:ind w:left="440"/>
    </w:pPr>
  </w:style>
  <w:style w:type="paragraph" w:styleId="Header">
    <w:name w:val="header"/>
    <w:basedOn w:val="Normal"/>
    <w:link w:val="HeaderChar"/>
    <w:uiPriority w:val="99"/>
    <w:unhideWhenUsed/>
    <w:rsid w:val="0093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F2"/>
  </w:style>
  <w:style w:type="paragraph" w:styleId="Footer">
    <w:name w:val="footer"/>
    <w:basedOn w:val="Normal"/>
    <w:link w:val="FooterChar"/>
    <w:uiPriority w:val="99"/>
    <w:unhideWhenUsed/>
    <w:rsid w:val="0093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F2"/>
  </w:style>
  <w:style w:type="character" w:customStyle="1" w:styleId="UnresolvedMention1">
    <w:name w:val="Unresolved Mention1"/>
    <w:basedOn w:val="DefaultParagraphFont"/>
    <w:uiPriority w:val="99"/>
    <w:semiHidden/>
    <w:unhideWhenUsed/>
    <w:rsid w:val="009374F2"/>
    <w:rPr>
      <w:color w:val="605E5C"/>
      <w:shd w:val="clear" w:color="auto" w:fill="E1DFDD"/>
    </w:rPr>
  </w:style>
  <w:style w:type="paragraph" w:styleId="EndnoteText">
    <w:name w:val="endnote text"/>
    <w:basedOn w:val="Normal"/>
    <w:link w:val="EndnoteTextChar"/>
    <w:uiPriority w:val="99"/>
    <w:semiHidden/>
    <w:unhideWhenUsed/>
    <w:rsid w:val="004B7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1F9"/>
    <w:rPr>
      <w:sz w:val="20"/>
      <w:szCs w:val="20"/>
    </w:rPr>
  </w:style>
  <w:style w:type="character" w:styleId="EndnoteReference">
    <w:name w:val="endnote reference"/>
    <w:basedOn w:val="DefaultParagraphFont"/>
    <w:uiPriority w:val="99"/>
    <w:semiHidden/>
    <w:unhideWhenUsed/>
    <w:rsid w:val="004B71F9"/>
    <w:rPr>
      <w:vertAlign w:val="superscript"/>
    </w:rPr>
  </w:style>
  <w:style w:type="character" w:styleId="Mention">
    <w:name w:val="Mention"/>
    <w:basedOn w:val="DefaultParagraphFont"/>
    <w:uiPriority w:val="99"/>
    <w:unhideWhenUsed/>
    <w:rsid w:val="00786ECB"/>
    <w:rPr>
      <w:color w:val="2B579A"/>
      <w:shd w:val="clear" w:color="auto" w:fill="E1DFDD"/>
    </w:rPr>
  </w:style>
  <w:style w:type="character" w:styleId="FollowedHyperlink">
    <w:name w:val="FollowedHyperlink"/>
    <w:basedOn w:val="DefaultParagraphFont"/>
    <w:uiPriority w:val="99"/>
    <w:semiHidden/>
    <w:unhideWhenUsed/>
    <w:rsid w:val="00A26CA2"/>
    <w:rPr>
      <w:color w:val="954F72" w:themeColor="followedHyperlink"/>
      <w:u w:val="single"/>
    </w:rPr>
  </w:style>
  <w:style w:type="character" w:styleId="UnresolvedMention">
    <w:name w:val="Unresolved Mention"/>
    <w:basedOn w:val="DefaultParagraphFont"/>
    <w:uiPriority w:val="99"/>
    <w:semiHidden/>
    <w:unhideWhenUsed/>
    <w:rsid w:val="0053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295">
      <w:bodyDiv w:val="1"/>
      <w:marLeft w:val="0"/>
      <w:marRight w:val="0"/>
      <w:marTop w:val="0"/>
      <w:marBottom w:val="0"/>
      <w:divBdr>
        <w:top w:val="none" w:sz="0" w:space="0" w:color="auto"/>
        <w:left w:val="none" w:sz="0" w:space="0" w:color="auto"/>
        <w:bottom w:val="none" w:sz="0" w:space="0" w:color="auto"/>
        <w:right w:val="none" w:sz="0" w:space="0" w:color="auto"/>
      </w:divBdr>
    </w:div>
    <w:div w:id="70665871">
      <w:bodyDiv w:val="1"/>
      <w:marLeft w:val="0"/>
      <w:marRight w:val="0"/>
      <w:marTop w:val="0"/>
      <w:marBottom w:val="0"/>
      <w:divBdr>
        <w:top w:val="none" w:sz="0" w:space="0" w:color="auto"/>
        <w:left w:val="none" w:sz="0" w:space="0" w:color="auto"/>
        <w:bottom w:val="none" w:sz="0" w:space="0" w:color="auto"/>
        <w:right w:val="none" w:sz="0" w:space="0" w:color="auto"/>
      </w:divBdr>
    </w:div>
    <w:div w:id="70859925">
      <w:bodyDiv w:val="1"/>
      <w:marLeft w:val="0"/>
      <w:marRight w:val="0"/>
      <w:marTop w:val="0"/>
      <w:marBottom w:val="0"/>
      <w:divBdr>
        <w:top w:val="none" w:sz="0" w:space="0" w:color="auto"/>
        <w:left w:val="none" w:sz="0" w:space="0" w:color="auto"/>
        <w:bottom w:val="none" w:sz="0" w:space="0" w:color="auto"/>
        <w:right w:val="none" w:sz="0" w:space="0" w:color="auto"/>
      </w:divBdr>
    </w:div>
    <w:div w:id="145440270">
      <w:bodyDiv w:val="1"/>
      <w:marLeft w:val="0"/>
      <w:marRight w:val="0"/>
      <w:marTop w:val="0"/>
      <w:marBottom w:val="0"/>
      <w:divBdr>
        <w:top w:val="none" w:sz="0" w:space="0" w:color="auto"/>
        <w:left w:val="none" w:sz="0" w:space="0" w:color="auto"/>
        <w:bottom w:val="none" w:sz="0" w:space="0" w:color="auto"/>
        <w:right w:val="none" w:sz="0" w:space="0" w:color="auto"/>
      </w:divBdr>
    </w:div>
    <w:div w:id="314578018">
      <w:bodyDiv w:val="1"/>
      <w:marLeft w:val="0"/>
      <w:marRight w:val="0"/>
      <w:marTop w:val="0"/>
      <w:marBottom w:val="0"/>
      <w:divBdr>
        <w:top w:val="none" w:sz="0" w:space="0" w:color="auto"/>
        <w:left w:val="none" w:sz="0" w:space="0" w:color="auto"/>
        <w:bottom w:val="none" w:sz="0" w:space="0" w:color="auto"/>
        <w:right w:val="none" w:sz="0" w:space="0" w:color="auto"/>
      </w:divBdr>
    </w:div>
    <w:div w:id="329717399">
      <w:bodyDiv w:val="1"/>
      <w:marLeft w:val="0"/>
      <w:marRight w:val="0"/>
      <w:marTop w:val="0"/>
      <w:marBottom w:val="0"/>
      <w:divBdr>
        <w:top w:val="none" w:sz="0" w:space="0" w:color="auto"/>
        <w:left w:val="none" w:sz="0" w:space="0" w:color="auto"/>
        <w:bottom w:val="none" w:sz="0" w:space="0" w:color="auto"/>
        <w:right w:val="none" w:sz="0" w:space="0" w:color="auto"/>
      </w:divBdr>
    </w:div>
    <w:div w:id="365832156">
      <w:bodyDiv w:val="1"/>
      <w:marLeft w:val="0"/>
      <w:marRight w:val="0"/>
      <w:marTop w:val="0"/>
      <w:marBottom w:val="0"/>
      <w:divBdr>
        <w:top w:val="none" w:sz="0" w:space="0" w:color="auto"/>
        <w:left w:val="none" w:sz="0" w:space="0" w:color="auto"/>
        <w:bottom w:val="none" w:sz="0" w:space="0" w:color="auto"/>
        <w:right w:val="none" w:sz="0" w:space="0" w:color="auto"/>
      </w:divBdr>
    </w:div>
    <w:div w:id="434251956">
      <w:bodyDiv w:val="1"/>
      <w:marLeft w:val="0"/>
      <w:marRight w:val="0"/>
      <w:marTop w:val="0"/>
      <w:marBottom w:val="0"/>
      <w:divBdr>
        <w:top w:val="none" w:sz="0" w:space="0" w:color="auto"/>
        <w:left w:val="none" w:sz="0" w:space="0" w:color="auto"/>
        <w:bottom w:val="none" w:sz="0" w:space="0" w:color="auto"/>
        <w:right w:val="none" w:sz="0" w:space="0" w:color="auto"/>
      </w:divBdr>
    </w:div>
    <w:div w:id="624583335">
      <w:bodyDiv w:val="1"/>
      <w:marLeft w:val="0"/>
      <w:marRight w:val="0"/>
      <w:marTop w:val="0"/>
      <w:marBottom w:val="0"/>
      <w:divBdr>
        <w:top w:val="none" w:sz="0" w:space="0" w:color="auto"/>
        <w:left w:val="none" w:sz="0" w:space="0" w:color="auto"/>
        <w:bottom w:val="none" w:sz="0" w:space="0" w:color="auto"/>
        <w:right w:val="none" w:sz="0" w:space="0" w:color="auto"/>
      </w:divBdr>
    </w:div>
    <w:div w:id="758716515">
      <w:bodyDiv w:val="1"/>
      <w:marLeft w:val="0"/>
      <w:marRight w:val="0"/>
      <w:marTop w:val="0"/>
      <w:marBottom w:val="0"/>
      <w:divBdr>
        <w:top w:val="none" w:sz="0" w:space="0" w:color="auto"/>
        <w:left w:val="none" w:sz="0" w:space="0" w:color="auto"/>
        <w:bottom w:val="none" w:sz="0" w:space="0" w:color="auto"/>
        <w:right w:val="none" w:sz="0" w:space="0" w:color="auto"/>
      </w:divBdr>
    </w:div>
    <w:div w:id="841235426">
      <w:bodyDiv w:val="1"/>
      <w:marLeft w:val="0"/>
      <w:marRight w:val="0"/>
      <w:marTop w:val="0"/>
      <w:marBottom w:val="0"/>
      <w:divBdr>
        <w:top w:val="none" w:sz="0" w:space="0" w:color="auto"/>
        <w:left w:val="none" w:sz="0" w:space="0" w:color="auto"/>
        <w:bottom w:val="none" w:sz="0" w:space="0" w:color="auto"/>
        <w:right w:val="none" w:sz="0" w:space="0" w:color="auto"/>
      </w:divBdr>
    </w:div>
    <w:div w:id="942299632">
      <w:bodyDiv w:val="1"/>
      <w:marLeft w:val="0"/>
      <w:marRight w:val="0"/>
      <w:marTop w:val="0"/>
      <w:marBottom w:val="0"/>
      <w:divBdr>
        <w:top w:val="none" w:sz="0" w:space="0" w:color="auto"/>
        <w:left w:val="none" w:sz="0" w:space="0" w:color="auto"/>
        <w:bottom w:val="none" w:sz="0" w:space="0" w:color="auto"/>
        <w:right w:val="none" w:sz="0" w:space="0" w:color="auto"/>
      </w:divBdr>
    </w:div>
    <w:div w:id="963266352">
      <w:bodyDiv w:val="1"/>
      <w:marLeft w:val="0"/>
      <w:marRight w:val="0"/>
      <w:marTop w:val="0"/>
      <w:marBottom w:val="0"/>
      <w:divBdr>
        <w:top w:val="none" w:sz="0" w:space="0" w:color="auto"/>
        <w:left w:val="none" w:sz="0" w:space="0" w:color="auto"/>
        <w:bottom w:val="none" w:sz="0" w:space="0" w:color="auto"/>
        <w:right w:val="none" w:sz="0" w:space="0" w:color="auto"/>
      </w:divBdr>
      <w:divsChild>
        <w:div w:id="663047432">
          <w:marLeft w:val="0"/>
          <w:marRight w:val="0"/>
          <w:marTop w:val="0"/>
          <w:marBottom w:val="0"/>
          <w:divBdr>
            <w:top w:val="none" w:sz="0" w:space="0" w:color="auto"/>
            <w:left w:val="none" w:sz="0" w:space="0" w:color="auto"/>
            <w:bottom w:val="none" w:sz="0" w:space="0" w:color="auto"/>
            <w:right w:val="none" w:sz="0" w:space="0" w:color="auto"/>
          </w:divBdr>
          <w:divsChild>
            <w:div w:id="2141875042">
              <w:marLeft w:val="0"/>
              <w:marRight w:val="0"/>
              <w:marTop w:val="0"/>
              <w:marBottom w:val="0"/>
              <w:divBdr>
                <w:top w:val="none" w:sz="0" w:space="0" w:color="auto"/>
                <w:left w:val="none" w:sz="0" w:space="0" w:color="auto"/>
                <w:bottom w:val="none" w:sz="0" w:space="0" w:color="auto"/>
                <w:right w:val="none" w:sz="0" w:space="0" w:color="auto"/>
              </w:divBdr>
              <w:divsChild>
                <w:div w:id="68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8834">
      <w:bodyDiv w:val="1"/>
      <w:marLeft w:val="0"/>
      <w:marRight w:val="0"/>
      <w:marTop w:val="0"/>
      <w:marBottom w:val="0"/>
      <w:divBdr>
        <w:top w:val="none" w:sz="0" w:space="0" w:color="auto"/>
        <w:left w:val="none" w:sz="0" w:space="0" w:color="auto"/>
        <w:bottom w:val="none" w:sz="0" w:space="0" w:color="auto"/>
        <w:right w:val="none" w:sz="0" w:space="0" w:color="auto"/>
      </w:divBdr>
    </w:div>
    <w:div w:id="1012610121">
      <w:bodyDiv w:val="1"/>
      <w:marLeft w:val="0"/>
      <w:marRight w:val="0"/>
      <w:marTop w:val="0"/>
      <w:marBottom w:val="0"/>
      <w:divBdr>
        <w:top w:val="none" w:sz="0" w:space="0" w:color="auto"/>
        <w:left w:val="none" w:sz="0" w:space="0" w:color="auto"/>
        <w:bottom w:val="none" w:sz="0" w:space="0" w:color="auto"/>
        <w:right w:val="none" w:sz="0" w:space="0" w:color="auto"/>
      </w:divBdr>
    </w:div>
    <w:div w:id="1016663284">
      <w:bodyDiv w:val="1"/>
      <w:marLeft w:val="0"/>
      <w:marRight w:val="0"/>
      <w:marTop w:val="0"/>
      <w:marBottom w:val="0"/>
      <w:divBdr>
        <w:top w:val="none" w:sz="0" w:space="0" w:color="auto"/>
        <w:left w:val="none" w:sz="0" w:space="0" w:color="auto"/>
        <w:bottom w:val="none" w:sz="0" w:space="0" w:color="auto"/>
        <w:right w:val="none" w:sz="0" w:space="0" w:color="auto"/>
      </w:divBdr>
    </w:div>
    <w:div w:id="1018315073">
      <w:bodyDiv w:val="1"/>
      <w:marLeft w:val="0"/>
      <w:marRight w:val="0"/>
      <w:marTop w:val="0"/>
      <w:marBottom w:val="0"/>
      <w:divBdr>
        <w:top w:val="none" w:sz="0" w:space="0" w:color="auto"/>
        <w:left w:val="none" w:sz="0" w:space="0" w:color="auto"/>
        <w:bottom w:val="none" w:sz="0" w:space="0" w:color="auto"/>
        <w:right w:val="none" w:sz="0" w:space="0" w:color="auto"/>
      </w:divBdr>
      <w:divsChild>
        <w:div w:id="15665333">
          <w:marLeft w:val="446"/>
          <w:marRight w:val="0"/>
          <w:marTop w:val="0"/>
          <w:marBottom w:val="0"/>
          <w:divBdr>
            <w:top w:val="none" w:sz="0" w:space="0" w:color="auto"/>
            <w:left w:val="none" w:sz="0" w:space="0" w:color="auto"/>
            <w:bottom w:val="none" w:sz="0" w:space="0" w:color="auto"/>
            <w:right w:val="none" w:sz="0" w:space="0" w:color="auto"/>
          </w:divBdr>
        </w:div>
        <w:div w:id="59059688">
          <w:marLeft w:val="446"/>
          <w:marRight w:val="0"/>
          <w:marTop w:val="0"/>
          <w:marBottom w:val="0"/>
          <w:divBdr>
            <w:top w:val="none" w:sz="0" w:space="0" w:color="auto"/>
            <w:left w:val="none" w:sz="0" w:space="0" w:color="auto"/>
            <w:bottom w:val="none" w:sz="0" w:space="0" w:color="auto"/>
            <w:right w:val="none" w:sz="0" w:space="0" w:color="auto"/>
          </w:divBdr>
        </w:div>
        <w:div w:id="288974680">
          <w:marLeft w:val="446"/>
          <w:marRight w:val="0"/>
          <w:marTop w:val="0"/>
          <w:marBottom w:val="0"/>
          <w:divBdr>
            <w:top w:val="none" w:sz="0" w:space="0" w:color="auto"/>
            <w:left w:val="none" w:sz="0" w:space="0" w:color="auto"/>
            <w:bottom w:val="none" w:sz="0" w:space="0" w:color="auto"/>
            <w:right w:val="none" w:sz="0" w:space="0" w:color="auto"/>
          </w:divBdr>
        </w:div>
        <w:div w:id="959527676">
          <w:marLeft w:val="446"/>
          <w:marRight w:val="0"/>
          <w:marTop w:val="0"/>
          <w:marBottom w:val="0"/>
          <w:divBdr>
            <w:top w:val="none" w:sz="0" w:space="0" w:color="auto"/>
            <w:left w:val="none" w:sz="0" w:space="0" w:color="auto"/>
            <w:bottom w:val="none" w:sz="0" w:space="0" w:color="auto"/>
            <w:right w:val="none" w:sz="0" w:space="0" w:color="auto"/>
          </w:divBdr>
        </w:div>
        <w:div w:id="982349397">
          <w:marLeft w:val="446"/>
          <w:marRight w:val="0"/>
          <w:marTop w:val="0"/>
          <w:marBottom w:val="0"/>
          <w:divBdr>
            <w:top w:val="none" w:sz="0" w:space="0" w:color="auto"/>
            <w:left w:val="none" w:sz="0" w:space="0" w:color="auto"/>
            <w:bottom w:val="none" w:sz="0" w:space="0" w:color="auto"/>
            <w:right w:val="none" w:sz="0" w:space="0" w:color="auto"/>
          </w:divBdr>
        </w:div>
        <w:div w:id="1194198091">
          <w:marLeft w:val="446"/>
          <w:marRight w:val="0"/>
          <w:marTop w:val="0"/>
          <w:marBottom w:val="0"/>
          <w:divBdr>
            <w:top w:val="none" w:sz="0" w:space="0" w:color="auto"/>
            <w:left w:val="none" w:sz="0" w:space="0" w:color="auto"/>
            <w:bottom w:val="none" w:sz="0" w:space="0" w:color="auto"/>
            <w:right w:val="none" w:sz="0" w:space="0" w:color="auto"/>
          </w:divBdr>
        </w:div>
        <w:div w:id="1293288009">
          <w:marLeft w:val="446"/>
          <w:marRight w:val="0"/>
          <w:marTop w:val="0"/>
          <w:marBottom w:val="240"/>
          <w:divBdr>
            <w:top w:val="none" w:sz="0" w:space="0" w:color="auto"/>
            <w:left w:val="none" w:sz="0" w:space="0" w:color="auto"/>
            <w:bottom w:val="none" w:sz="0" w:space="0" w:color="auto"/>
            <w:right w:val="none" w:sz="0" w:space="0" w:color="auto"/>
          </w:divBdr>
        </w:div>
        <w:div w:id="1564830497">
          <w:marLeft w:val="446"/>
          <w:marRight w:val="0"/>
          <w:marTop w:val="0"/>
          <w:marBottom w:val="0"/>
          <w:divBdr>
            <w:top w:val="none" w:sz="0" w:space="0" w:color="auto"/>
            <w:left w:val="none" w:sz="0" w:space="0" w:color="auto"/>
            <w:bottom w:val="none" w:sz="0" w:space="0" w:color="auto"/>
            <w:right w:val="none" w:sz="0" w:space="0" w:color="auto"/>
          </w:divBdr>
        </w:div>
        <w:div w:id="1827748502">
          <w:marLeft w:val="446"/>
          <w:marRight w:val="0"/>
          <w:marTop w:val="0"/>
          <w:marBottom w:val="0"/>
          <w:divBdr>
            <w:top w:val="none" w:sz="0" w:space="0" w:color="auto"/>
            <w:left w:val="none" w:sz="0" w:space="0" w:color="auto"/>
            <w:bottom w:val="none" w:sz="0" w:space="0" w:color="auto"/>
            <w:right w:val="none" w:sz="0" w:space="0" w:color="auto"/>
          </w:divBdr>
        </w:div>
        <w:div w:id="2127775999">
          <w:marLeft w:val="446"/>
          <w:marRight w:val="0"/>
          <w:marTop w:val="0"/>
          <w:marBottom w:val="0"/>
          <w:divBdr>
            <w:top w:val="none" w:sz="0" w:space="0" w:color="auto"/>
            <w:left w:val="none" w:sz="0" w:space="0" w:color="auto"/>
            <w:bottom w:val="none" w:sz="0" w:space="0" w:color="auto"/>
            <w:right w:val="none" w:sz="0" w:space="0" w:color="auto"/>
          </w:divBdr>
        </w:div>
      </w:divsChild>
    </w:div>
    <w:div w:id="1034118763">
      <w:bodyDiv w:val="1"/>
      <w:marLeft w:val="0"/>
      <w:marRight w:val="0"/>
      <w:marTop w:val="0"/>
      <w:marBottom w:val="0"/>
      <w:divBdr>
        <w:top w:val="none" w:sz="0" w:space="0" w:color="auto"/>
        <w:left w:val="none" w:sz="0" w:space="0" w:color="auto"/>
        <w:bottom w:val="none" w:sz="0" w:space="0" w:color="auto"/>
        <w:right w:val="none" w:sz="0" w:space="0" w:color="auto"/>
      </w:divBdr>
    </w:div>
    <w:div w:id="1086267553">
      <w:bodyDiv w:val="1"/>
      <w:marLeft w:val="0"/>
      <w:marRight w:val="0"/>
      <w:marTop w:val="0"/>
      <w:marBottom w:val="0"/>
      <w:divBdr>
        <w:top w:val="none" w:sz="0" w:space="0" w:color="auto"/>
        <w:left w:val="none" w:sz="0" w:space="0" w:color="auto"/>
        <w:bottom w:val="none" w:sz="0" w:space="0" w:color="auto"/>
        <w:right w:val="none" w:sz="0" w:space="0" w:color="auto"/>
      </w:divBdr>
    </w:div>
    <w:div w:id="1206715562">
      <w:bodyDiv w:val="1"/>
      <w:marLeft w:val="0"/>
      <w:marRight w:val="0"/>
      <w:marTop w:val="0"/>
      <w:marBottom w:val="0"/>
      <w:divBdr>
        <w:top w:val="none" w:sz="0" w:space="0" w:color="auto"/>
        <w:left w:val="none" w:sz="0" w:space="0" w:color="auto"/>
        <w:bottom w:val="none" w:sz="0" w:space="0" w:color="auto"/>
        <w:right w:val="none" w:sz="0" w:space="0" w:color="auto"/>
      </w:divBdr>
    </w:div>
    <w:div w:id="1210917813">
      <w:bodyDiv w:val="1"/>
      <w:marLeft w:val="0"/>
      <w:marRight w:val="0"/>
      <w:marTop w:val="0"/>
      <w:marBottom w:val="0"/>
      <w:divBdr>
        <w:top w:val="none" w:sz="0" w:space="0" w:color="auto"/>
        <w:left w:val="none" w:sz="0" w:space="0" w:color="auto"/>
        <w:bottom w:val="none" w:sz="0" w:space="0" w:color="auto"/>
        <w:right w:val="none" w:sz="0" w:space="0" w:color="auto"/>
      </w:divBdr>
      <w:divsChild>
        <w:div w:id="1198079422">
          <w:marLeft w:val="446"/>
          <w:marRight w:val="0"/>
          <w:marTop w:val="0"/>
          <w:marBottom w:val="0"/>
          <w:divBdr>
            <w:top w:val="none" w:sz="0" w:space="0" w:color="auto"/>
            <w:left w:val="none" w:sz="0" w:space="0" w:color="auto"/>
            <w:bottom w:val="none" w:sz="0" w:space="0" w:color="auto"/>
            <w:right w:val="none" w:sz="0" w:space="0" w:color="auto"/>
          </w:divBdr>
        </w:div>
        <w:div w:id="1861624035">
          <w:marLeft w:val="446"/>
          <w:marRight w:val="0"/>
          <w:marTop w:val="0"/>
          <w:marBottom w:val="0"/>
          <w:divBdr>
            <w:top w:val="none" w:sz="0" w:space="0" w:color="auto"/>
            <w:left w:val="none" w:sz="0" w:space="0" w:color="auto"/>
            <w:bottom w:val="none" w:sz="0" w:space="0" w:color="auto"/>
            <w:right w:val="none" w:sz="0" w:space="0" w:color="auto"/>
          </w:divBdr>
        </w:div>
        <w:div w:id="1950890089">
          <w:marLeft w:val="446"/>
          <w:marRight w:val="0"/>
          <w:marTop w:val="0"/>
          <w:marBottom w:val="0"/>
          <w:divBdr>
            <w:top w:val="none" w:sz="0" w:space="0" w:color="auto"/>
            <w:left w:val="none" w:sz="0" w:space="0" w:color="auto"/>
            <w:bottom w:val="none" w:sz="0" w:space="0" w:color="auto"/>
            <w:right w:val="none" w:sz="0" w:space="0" w:color="auto"/>
          </w:divBdr>
        </w:div>
      </w:divsChild>
    </w:div>
    <w:div w:id="1218667154">
      <w:bodyDiv w:val="1"/>
      <w:marLeft w:val="0"/>
      <w:marRight w:val="0"/>
      <w:marTop w:val="0"/>
      <w:marBottom w:val="0"/>
      <w:divBdr>
        <w:top w:val="none" w:sz="0" w:space="0" w:color="auto"/>
        <w:left w:val="none" w:sz="0" w:space="0" w:color="auto"/>
        <w:bottom w:val="none" w:sz="0" w:space="0" w:color="auto"/>
        <w:right w:val="none" w:sz="0" w:space="0" w:color="auto"/>
      </w:divBdr>
    </w:div>
    <w:div w:id="1267617236">
      <w:bodyDiv w:val="1"/>
      <w:marLeft w:val="0"/>
      <w:marRight w:val="0"/>
      <w:marTop w:val="0"/>
      <w:marBottom w:val="0"/>
      <w:divBdr>
        <w:top w:val="none" w:sz="0" w:space="0" w:color="auto"/>
        <w:left w:val="none" w:sz="0" w:space="0" w:color="auto"/>
        <w:bottom w:val="none" w:sz="0" w:space="0" w:color="auto"/>
        <w:right w:val="none" w:sz="0" w:space="0" w:color="auto"/>
      </w:divBdr>
      <w:divsChild>
        <w:div w:id="166136271">
          <w:marLeft w:val="446"/>
          <w:marRight w:val="0"/>
          <w:marTop w:val="0"/>
          <w:marBottom w:val="0"/>
          <w:divBdr>
            <w:top w:val="none" w:sz="0" w:space="0" w:color="auto"/>
            <w:left w:val="none" w:sz="0" w:space="0" w:color="auto"/>
            <w:bottom w:val="none" w:sz="0" w:space="0" w:color="auto"/>
            <w:right w:val="none" w:sz="0" w:space="0" w:color="auto"/>
          </w:divBdr>
        </w:div>
        <w:div w:id="641933828">
          <w:marLeft w:val="446"/>
          <w:marRight w:val="0"/>
          <w:marTop w:val="0"/>
          <w:marBottom w:val="0"/>
          <w:divBdr>
            <w:top w:val="none" w:sz="0" w:space="0" w:color="auto"/>
            <w:left w:val="none" w:sz="0" w:space="0" w:color="auto"/>
            <w:bottom w:val="none" w:sz="0" w:space="0" w:color="auto"/>
            <w:right w:val="none" w:sz="0" w:space="0" w:color="auto"/>
          </w:divBdr>
        </w:div>
        <w:div w:id="1834834863">
          <w:marLeft w:val="446"/>
          <w:marRight w:val="0"/>
          <w:marTop w:val="0"/>
          <w:marBottom w:val="0"/>
          <w:divBdr>
            <w:top w:val="none" w:sz="0" w:space="0" w:color="auto"/>
            <w:left w:val="none" w:sz="0" w:space="0" w:color="auto"/>
            <w:bottom w:val="none" w:sz="0" w:space="0" w:color="auto"/>
            <w:right w:val="none" w:sz="0" w:space="0" w:color="auto"/>
          </w:divBdr>
        </w:div>
      </w:divsChild>
    </w:div>
    <w:div w:id="1317414568">
      <w:bodyDiv w:val="1"/>
      <w:marLeft w:val="0"/>
      <w:marRight w:val="0"/>
      <w:marTop w:val="0"/>
      <w:marBottom w:val="0"/>
      <w:divBdr>
        <w:top w:val="none" w:sz="0" w:space="0" w:color="auto"/>
        <w:left w:val="none" w:sz="0" w:space="0" w:color="auto"/>
        <w:bottom w:val="none" w:sz="0" w:space="0" w:color="auto"/>
        <w:right w:val="none" w:sz="0" w:space="0" w:color="auto"/>
      </w:divBdr>
    </w:div>
    <w:div w:id="1403328217">
      <w:bodyDiv w:val="1"/>
      <w:marLeft w:val="0"/>
      <w:marRight w:val="0"/>
      <w:marTop w:val="0"/>
      <w:marBottom w:val="0"/>
      <w:divBdr>
        <w:top w:val="none" w:sz="0" w:space="0" w:color="auto"/>
        <w:left w:val="none" w:sz="0" w:space="0" w:color="auto"/>
        <w:bottom w:val="none" w:sz="0" w:space="0" w:color="auto"/>
        <w:right w:val="none" w:sz="0" w:space="0" w:color="auto"/>
      </w:divBdr>
    </w:div>
    <w:div w:id="1491290317">
      <w:bodyDiv w:val="1"/>
      <w:marLeft w:val="0"/>
      <w:marRight w:val="0"/>
      <w:marTop w:val="0"/>
      <w:marBottom w:val="0"/>
      <w:divBdr>
        <w:top w:val="none" w:sz="0" w:space="0" w:color="auto"/>
        <w:left w:val="none" w:sz="0" w:space="0" w:color="auto"/>
        <w:bottom w:val="none" w:sz="0" w:space="0" w:color="auto"/>
        <w:right w:val="none" w:sz="0" w:space="0" w:color="auto"/>
      </w:divBdr>
    </w:div>
    <w:div w:id="1586843084">
      <w:bodyDiv w:val="1"/>
      <w:marLeft w:val="0"/>
      <w:marRight w:val="0"/>
      <w:marTop w:val="0"/>
      <w:marBottom w:val="0"/>
      <w:divBdr>
        <w:top w:val="none" w:sz="0" w:space="0" w:color="auto"/>
        <w:left w:val="none" w:sz="0" w:space="0" w:color="auto"/>
        <w:bottom w:val="none" w:sz="0" w:space="0" w:color="auto"/>
        <w:right w:val="none" w:sz="0" w:space="0" w:color="auto"/>
      </w:divBdr>
    </w:div>
    <w:div w:id="1873765193">
      <w:bodyDiv w:val="1"/>
      <w:marLeft w:val="0"/>
      <w:marRight w:val="0"/>
      <w:marTop w:val="0"/>
      <w:marBottom w:val="0"/>
      <w:divBdr>
        <w:top w:val="none" w:sz="0" w:space="0" w:color="auto"/>
        <w:left w:val="none" w:sz="0" w:space="0" w:color="auto"/>
        <w:bottom w:val="none" w:sz="0" w:space="0" w:color="auto"/>
        <w:right w:val="none" w:sz="0" w:space="0" w:color="auto"/>
      </w:divBdr>
    </w:div>
    <w:div w:id="1907644718">
      <w:bodyDiv w:val="1"/>
      <w:marLeft w:val="0"/>
      <w:marRight w:val="0"/>
      <w:marTop w:val="0"/>
      <w:marBottom w:val="0"/>
      <w:divBdr>
        <w:top w:val="none" w:sz="0" w:space="0" w:color="auto"/>
        <w:left w:val="none" w:sz="0" w:space="0" w:color="auto"/>
        <w:bottom w:val="none" w:sz="0" w:space="0" w:color="auto"/>
        <w:right w:val="none" w:sz="0" w:space="0" w:color="auto"/>
      </w:divBdr>
    </w:div>
    <w:div w:id="1927571524">
      <w:bodyDiv w:val="1"/>
      <w:marLeft w:val="0"/>
      <w:marRight w:val="0"/>
      <w:marTop w:val="0"/>
      <w:marBottom w:val="0"/>
      <w:divBdr>
        <w:top w:val="none" w:sz="0" w:space="0" w:color="auto"/>
        <w:left w:val="none" w:sz="0" w:space="0" w:color="auto"/>
        <w:bottom w:val="none" w:sz="0" w:space="0" w:color="auto"/>
        <w:right w:val="none" w:sz="0" w:space="0" w:color="auto"/>
      </w:divBdr>
    </w:div>
    <w:div w:id="1975408428">
      <w:bodyDiv w:val="1"/>
      <w:marLeft w:val="0"/>
      <w:marRight w:val="0"/>
      <w:marTop w:val="0"/>
      <w:marBottom w:val="0"/>
      <w:divBdr>
        <w:top w:val="none" w:sz="0" w:space="0" w:color="auto"/>
        <w:left w:val="none" w:sz="0" w:space="0" w:color="auto"/>
        <w:bottom w:val="none" w:sz="0" w:space="0" w:color="auto"/>
        <w:right w:val="none" w:sz="0" w:space="0" w:color="auto"/>
      </w:divBdr>
    </w:div>
    <w:div w:id="1993634824">
      <w:bodyDiv w:val="1"/>
      <w:marLeft w:val="0"/>
      <w:marRight w:val="0"/>
      <w:marTop w:val="0"/>
      <w:marBottom w:val="0"/>
      <w:divBdr>
        <w:top w:val="none" w:sz="0" w:space="0" w:color="auto"/>
        <w:left w:val="none" w:sz="0" w:space="0" w:color="auto"/>
        <w:bottom w:val="none" w:sz="0" w:space="0" w:color="auto"/>
        <w:right w:val="none" w:sz="0" w:space="0" w:color="auto"/>
      </w:divBdr>
      <w:divsChild>
        <w:div w:id="2004964444">
          <w:marLeft w:val="0"/>
          <w:marRight w:val="0"/>
          <w:marTop w:val="0"/>
          <w:marBottom w:val="0"/>
          <w:divBdr>
            <w:top w:val="none" w:sz="0" w:space="0" w:color="auto"/>
            <w:left w:val="none" w:sz="0" w:space="0" w:color="auto"/>
            <w:bottom w:val="none" w:sz="0" w:space="0" w:color="auto"/>
            <w:right w:val="none" w:sz="0" w:space="0" w:color="auto"/>
          </w:divBdr>
          <w:divsChild>
            <w:div w:id="363603483">
              <w:marLeft w:val="0"/>
              <w:marRight w:val="0"/>
              <w:marTop w:val="0"/>
              <w:marBottom w:val="0"/>
              <w:divBdr>
                <w:top w:val="none" w:sz="0" w:space="0" w:color="auto"/>
                <w:left w:val="none" w:sz="0" w:space="0" w:color="auto"/>
                <w:bottom w:val="none" w:sz="0" w:space="0" w:color="auto"/>
                <w:right w:val="none" w:sz="0" w:space="0" w:color="auto"/>
              </w:divBdr>
              <w:divsChild>
                <w:div w:id="912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0320">
      <w:bodyDiv w:val="1"/>
      <w:marLeft w:val="0"/>
      <w:marRight w:val="0"/>
      <w:marTop w:val="0"/>
      <w:marBottom w:val="0"/>
      <w:divBdr>
        <w:top w:val="none" w:sz="0" w:space="0" w:color="auto"/>
        <w:left w:val="none" w:sz="0" w:space="0" w:color="auto"/>
        <w:bottom w:val="none" w:sz="0" w:space="0" w:color="auto"/>
        <w:right w:val="none" w:sz="0" w:space="0" w:color="auto"/>
      </w:divBdr>
      <w:divsChild>
        <w:div w:id="407308906">
          <w:marLeft w:val="0"/>
          <w:marRight w:val="0"/>
          <w:marTop w:val="0"/>
          <w:marBottom w:val="0"/>
          <w:divBdr>
            <w:top w:val="none" w:sz="0" w:space="0" w:color="auto"/>
            <w:left w:val="none" w:sz="0" w:space="0" w:color="auto"/>
            <w:bottom w:val="none" w:sz="0" w:space="0" w:color="auto"/>
            <w:right w:val="none" w:sz="0" w:space="0" w:color="auto"/>
          </w:divBdr>
          <w:divsChild>
            <w:div w:id="573442159">
              <w:marLeft w:val="0"/>
              <w:marRight w:val="0"/>
              <w:marTop w:val="0"/>
              <w:marBottom w:val="0"/>
              <w:divBdr>
                <w:top w:val="none" w:sz="0" w:space="0" w:color="auto"/>
                <w:left w:val="none" w:sz="0" w:space="0" w:color="auto"/>
                <w:bottom w:val="none" w:sz="0" w:space="0" w:color="auto"/>
                <w:right w:val="none" w:sz="0" w:space="0" w:color="auto"/>
              </w:divBdr>
              <w:divsChild>
                <w:div w:id="128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Risk Appetite Statement</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POPP-11-3634</_dlc_DocId>
    <_dlc_DocIdUrl xmlns="8264c5cc-ec60-4b56-8111-ce635d3d139a">
      <Url>https://popp.undp.org/_layouts/15/DocIdRedir.aspx?ID=POPP-11-3634</Url>
      <Description>POPP-11-3634</Description>
    </_dlc_DocIdUrl>
    <DLCPolicyLabelValue xmlns="e560140e-7b2f-4392-90df-e7567e3021a3">Effective Date: {Effective Date}                                                Version #: {POPPRefItemVersion}</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AF7800-A4C5-49DE-BB0E-62CF6DCDAC44}">
  <ds:schemaRefs>
    <ds:schemaRef ds:uri="http://schemas.microsoft.com/sharepoint/v3/contenttype/forms"/>
  </ds:schemaRefs>
</ds:datastoreItem>
</file>

<file path=customXml/itemProps2.xml><?xml version="1.0" encoding="utf-8"?>
<ds:datastoreItem xmlns:ds="http://schemas.openxmlformats.org/officeDocument/2006/customXml" ds:itemID="{2E2C5130-3B4F-480B-9A68-C5FA53D5F6D0}">
  <ds:schemaRefs>
    <ds:schemaRef ds:uri="office.server.policy"/>
  </ds:schemaRefs>
</ds:datastoreItem>
</file>

<file path=customXml/itemProps3.xml><?xml version="1.0" encoding="utf-8"?>
<ds:datastoreItem xmlns:ds="http://schemas.openxmlformats.org/officeDocument/2006/customXml" ds:itemID="{44208E81-2D1F-4405-86E6-871E066DBF6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15BFE232-0FC2-4C00-944B-C34B9CFF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F783B5-D5E8-4726-AC1B-3BC4E07362D0}">
  <ds:schemaRefs>
    <ds:schemaRef ds:uri="http://schemas.openxmlformats.org/officeDocument/2006/bibliography"/>
  </ds:schemaRefs>
</ds:datastoreItem>
</file>

<file path=customXml/itemProps6.xml><?xml version="1.0" encoding="utf-8"?>
<ds:datastoreItem xmlns:ds="http://schemas.openxmlformats.org/officeDocument/2006/customXml" ds:itemID="{228E85DD-331C-4E13-98EA-4E301C21EF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Al-Hebshi</dc:creator>
  <cp:keywords/>
  <dc:description/>
  <cp:lastModifiedBy>Philippe Le Duff</cp:lastModifiedBy>
  <cp:revision>2</cp:revision>
  <dcterms:created xsi:type="dcterms:W3CDTF">2024-01-31T18:07:00Z</dcterms:created>
  <dcterms:modified xsi:type="dcterms:W3CDTF">2024-01-31T18:07:00Z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f0b1aab2-8041-4837-a028-a5242e7a7e5d</vt:lpwstr>
  </property>
</Properties>
</file>