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33E0" w14:textId="77777777" w:rsidR="0011267F" w:rsidRDefault="0011267F" w:rsidP="0011267F">
      <w:pPr>
        <w:keepNext/>
        <w:keepLines/>
        <w:spacing w:before="240" w:after="0" w:line="240" w:lineRule="auto"/>
        <w:jc w:val="both"/>
        <w:outlineLvl w:val="0"/>
        <w:rPr>
          <w:rFonts w:ascii="Cambria" w:eastAsia="Times New Roman" w:hAnsi="Cambria" w:cs="Times New Roman"/>
          <w:color w:val="365F91"/>
          <w:kern w:val="0"/>
          <w:sz w:val="32"/>
          <w:szCs w:val="32"/>
          <w14:ligatures w14:val="none"/>
        </w:rPr>
      </w:pPr>
    </w:p>
    <w:p w14:paraId="13F59718" w14:textId="6E861BC5" w:rsidR="0011267F" w:rsidRPr="0011267F" w:rsidRDefault="0011267F" w:rsidP="0011267F">
      <w:pPr>
        <w:keepNext/>
        <w:keepLines/>
        <w:spacing w:before="240" w:after="0" w:line="240" w:lineRule="auto"/>
        <w:jc w:val="both"/>
        <w:outlineLvl w:val="0"/>
        <w:rPr>
          <w:rFonts w:ascii="Cambria" w:eastAsia="Times New Roman" w:hAnsi="Cambria" w:cs="Times New Roman"/>
          <w:color w:val="365F91"/>
          <w:kern w:val="0"/>
          <w:sz w:val="32"/>
          <w:szCs w:val="32"/>
          <w14:ligatures w14:val="none"/>
        </w:rPr>
      </w:pPr>
      <w:r w:rsidRPr="0011267F">
        <w:rPr>
          <w:rFonts w:ascii="Cambria" w:eastAsia="Times New Roman" w:hAnsi="Cambria" w:cs="Times New Roman"/>
          <w:color w:val="365F91"/>
          <w:kern w:val="0"/>
          <w:sz w:val="32"/>
          <w:szCs w:val="32"/>
          <w14:ligatures w14:val="none"/>
        </w:rPr>
        <w:t xml:space="preserve">Mandat du </w:t>
      </w:r>
      <w:proofErr w:type="spellStart"/>
      <w:r w:rsidRPr="0011267F">
        <w:rPr>
          <w:rFonts w:ascii="Cambria" w:eastAsia="Times New Roman" w:hAnsi="Cambria" w:cs="Times New Roman"/>
          <w:color w:val="365F91"/>
          <w:kern w:val="0"/>
          <w:sz w:val="32"/>
          <w:szCs w:val="32"/>
          <w14:ligatures w14:val="none"/>
        </w:rPr>
        <w:t>comité</w:t>
      </w:r>
      <w:proofErr w:type="spellEnd"/>
      <w:r w:rsidRPr="0011267F">
        <w:rPr>
          <w:rFonts w:ascii="Cambria" w:eastAsia="Times New Roman" w:hAnsi="Cambria" w:cs="Times New Roman"/>
          <w:color w:val="365F91"/>
          <w:kern w:val="0"/>
          <w:sz w:val="32"/>
          <w:szCs w:val="32"/>
          <w14:ligatures w14:val="none"/>
        </w:rPr>
        <w:t xml:space="preserve"> des </w:t>
      </w:r>
      <w:proofErr w:type="spellStart"/>
      <w:r w:rsidRPr="0011267F">
        <w:rPr>
          <w:rFonts w:ascii="Cambria" w:eastAsia="Times New Roman" w:hAnsi="Cambria" w:cs="Times New Roman"/>
          <w:color w:val="365F91"/>
          <w:kern w:val="0"/>
          <w:sz w:val="32"/>
          <w:szCs w:val="32"/>
          <w14:ligatures w14:val="none"/>
        </w:rPr>
        <w:t>risques</w:t>
      </w:r>
      <w:proofErr w:type="spellEnd"/>
    </w:p>
    <w:p w14:paraId="4FB22B17" w14:textId="77777777" w:rsidR="0011267F" w:rsidRPr="0011267F" w:rsidRDefault="0011267F" w:rsidP="0011267F">
      <w:pPr>
        <w:widowControl w:val="0"/>
        <w:autoSpaceDE w:val="0"/>
        <w:autoSpaceDN w:val="0"/>
        <w:spacing w:before="3" w:after="0" w:line="240" w:lineRule="auto"/>
        <w:rPr>
          <w:rFonts w:ascii="Times New Roman" w:eastAsia="Arial" w:hAnsi="Times New Roman" w:cs="Times New Roman"/>
          <w:kern w:val="0"/>
          <w:sz w:val="27"/>
          <w:szCs w:val="24"/>
          <w:lang w:val="fr-FR"/>
          <w14:ligatures w14:val="none"/>
        </w:rPr>
      </w:pPr>
    </w:p>
    <w:p w14:paraId="012BF41D" w14:textId="77777777" w:rsidR="0011267F" w:rsidRPr="0011267F" w:rsidRDefault="0011267F" w:rsidP="0011267F">
      <w:pPr>
        <w:widowControl w:val="0"/>
        <w:autoSpaceDE w:val="0"/>
        <w:autoSpaceDN w:val="0"/>
        <w:spacing w:before="62" w:after="0" w:line="240" w:lineRule="auto"/>
        <w:ind w:left="563" w:hanging="390"/>
        <w:jc w:val="both"/>
        <w:outlineLvl w:val="2"/>
        <w:rPr>
          <w:rFonts w:ascii="Calibri Light" w:eastAsia="Arial" w:hAnsi="Calibri Light" w:cs="Arial"/>
          <w:color w:val="365F91"/>
          <w:kern w:val="0"/>
          <w:sz w:val="24"/>
          <w:szCs w:val="26"/>
          <w:lang w:val="fr-FR"/>
          <w14:ligatures w14:val="none"/>
        </w:rPr>
      </w:pPr>
      <w:bookmarkStart w:id="0" w:name="Contexte"/>
      <w:bookmarkStart w:id="1" w:name="_Toc155179467"/>
      <w:bookmarkEnd w:id="0"/>
      <w:r w:rsidRPr="0011267F">
        <w:rPr>
          <w:rFonts w:ascii="Calibri Light" w:eastAsia="Arial" w:hAnsi="Calibri Light" w:cs="Arial"/>
          <w:color w:val="365F91"/>
          <w:kern w:val="0"/>
          <w:sz w:val="24"/>
          <w:szCs w:val="26"/>
          <w:lang w:val="fr-FR"/>
          <w14:ligatures w14:val="none"/>
        </w:rPr>
        <w:t>Contexte</w:t>
      </w:r>
      <w:bookmarkEnd w:id="1"/>
    </w:p>
    <w:p w14:paraId="0E40BF73" w14:textId="77777777" w:rsidR="0011267F" w:rsidRPr="0011267F" w:rsidRDefault="0011267F" w:rsidP="0011267F">
      <w:pPr>
        <w:spacing w:after="0" w:line="240"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La gestion des risques de l'entreprise (ERM), y compris l'aspect stratégique de la gestion des incidents et des crises (ICM), sont tous des parties intégrantes du risque, et des disciplines de la gestion efficace pour des résultats de développement. Au fur et à mesure que le PNUD s'oriente vers des programmes impliquant des conseils politiques de haut niveau et des changements transformationnels à l'échelle du système, la réalisation des résultats programmatiques dépendra de plus en plus de facteurs échappant totalement ou partiellement à notre contrôle. Ces facteurs comprennent des risques que nous devons gérer en coopération avec nos partenaires et autres parties prenantes. Pour tirer parti d'opportunités prometteuses, l'organisation doit souvent prendre des risques calculés. Il est essentiel d'être agile, réactif et proactif pour obtenir des résultats.</w:t>
      </w:r>
    </w:p>
    <w:p w14:paraId="64FD5A1F" w14:textId="77777777" w:rsidR="0011267F" w:rsidRPr="0011267F" w:rsidRDefault="0011267F" w:rsidP="0011267F">
      <w:pPr>
        <w:spacing w:after="0" w:line="240"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La politique GRE du PNUD guidera la conduite et l'application de la GRE et définira les rôles et les responsabilités. Au niveau de l'organisation, un Comité des risques, présidé par l'Administrateur associé, supervise la mise en œuvre globale et l'utilisation du cadre au PNUD. Le Comité des risques est un sous-comité du GE et rend compte au GE sur le cadre sur une base semestrielle.</w:t>
      </w:r>
    </w:p>
    <w:p w14:paraId="66773735" w14:textId="77777777" w:rsidR="0011267F" w:rsidRPr="0011267F" w:rsidRDefault="0011267F" w:rsidP="0011267F">
      <w:pPr>
        <w:spacing w:after="0" w:line="240" w:lineRule="auto"/>
        <w:jc w:val="both"/>
        <w:rPr>
          <w:rFonts w:ascii="Calibri" w:eastAsia="Calibri" w:hAnsi="Calibri" w:cs="Calibri"/>
          <w:kern w:val="0"/>
          <w:lang w:val="fr-FR"/>
          <w14:ligatures w14:val="none"/>
        </w:rPr>
      </w:pPr>
    </w:p>
    <w:p w14:paraId="068DC99E" w14:textId="77777777" w:rsidR="0011267F" w:rsidRPr="0011267F" w:rsidRDefault="0011267F" w:rsidP="0011267F">
      <w:pPr>
        <w:keepNext/>
        <w:keepLines/>
        <w:spacing w:before="40" w:after="0" w:line="240" w:lineRule="auto"/>
        <w:outlineLvl w:val="2"/>
        <w:rPr>
          <w:rFonts w:ascii="Times New Roman" w:eastAsia="Times New Roman" w:hAnsi="Times New Roman" w:cs="Times New Roman"/>
          <w:color w:val="243F60"/>
          <w:kern w:val="0"/>
          <w:sz w:val="24"/>
          <w:szCs w:val="24"/>
          <w:lang w:val="fr-CH"/>
          <w14:ligatures w14:val="none"/>
        </w:rPr>
      </w:pPr>
      <w:bookmarkStart w:id="2" w:name="Tâches_et_responsabilités"/>
      <w:bookmarkStart w:id="3" w:name="_Toc155179468"/>
      <w:bookmarkEnd w:id="2"/>
      <w:r w:rsidRPr="0011267F">
        <w:rPr>
          <w:rFonts w:ascii="Times New Roman" w:eastAsia="Times New Roman" w:hAnsi="Times New Roman" w:cs="Times New Roman"/>
          <w:color w:val="243F60"/>
          <w:kern w:val="0"/>
          <w:sz w:val="24"/>
          <w:szCs w:val="24"/>
          <w:lang w:val="fr-CH"/>
          <w14:ligatures w14:val="none"/>
        </w:rPr>
        <w:t>Tâches et responsabilités</w:t>
      </w:r>
      <w:bookmarkEnd w:id="3"/>
    </w:p>
    <w:p w14:paraId="087C7251" w14:textId="77777777" w:rsidR="0011267F" w:rsidRPr="0011267F" w:rsidRDefault="0011267F" w:rsidP="0011267F">
      <w:pPr>
        <w:widowControl w:val="0"/>
        <w:autoSpaceDE w:val="0"/>
        <w:autoSpaceDN w:val="0"/>
        <w:spacing w:before="1" w:after="0" w:line="276" w:lineRule="auto"/>
        <w:ind w:left="120" w:right="121"/>
        <w:jc w:val="both"/>
        <w:rPr>
          <w:rFonts w:ascii="Times New Roman" w:eastAsia="Arial" w:hAnsi="Times New Roman" w:cs="Times New Roman"/>
          <w:kern w:val="0"/>
          <w:sz w:val="24"/>
          <w:szCs w:val="24"/>
          <w:lang w:val="fr-FR"/>
          <w14:ligatures w14:val="none"/>
        </w:rPr>
      </w:pPr>
      <w:r w:rsidRPr="0011267F">
        <w:rPr>
          <w:rFonts w:ascii="Calibri" w:eastAsia="Calibri" w:hAnsi="Calibri" w:cs="Calibri"/>
          <w:kern w:val="0"/>
          <w:lang w:val="fr-FR"/>
          <w14:ligatures w14:val="none"/>
        </w:rPr>
        <w:t>Conformément à la (aux) politique(s) pertinente(s), le comité des risques est responsable de ce qui suit</w:t>
      </w:r>
      <w:r w:rsidRPr="0011267F">
        <w:rPr>
          <w:rFonts w:ascii="Times New Roman" w:eastAsia="Arial" w:hAnsi="Times New Roman" w:cs="Times New Roman"/>
          <w:kern w:val="0"/>
          <w:sz w:val="24"/>
          <w:szCs w:val="24"/>
          <w:lang w:val="fr-FR"/>
          <w14:ligatures w14:val="none"/>
        </w:rPr>
        <w:t xml:space="preserve"> :</w:t>
      </w:r>
    </w:p>
    <w:p w14:paraId="293A3E95" w14:textId="77777777" w:rsidR="0011267F" w:rsidRPr="0011267F" w:rsidRDefault="0011267F" w:rsidP="0011267F">
      <w:pPr>
        <w:widowControl w:val="0"/>
        <w:numPr>
          <w:ilvl w:val="0"/>
          <w:numId w:val="3"/>
        </w:numPr>
        <w:autoSpaceDE w:val="0"/>
        <w:autoSpaceDN w:val="0"/>
        <w:adjustRightInd w:val="0"/>
        <w:spacing w:after="120" w:line="276" w:lineRule="auto"/>
        <w:ind w:left="810"/>
        <w:jc w:val="both"/>
        <w:rPr>
          <w:rFonts w:ascii="Calibri" w:eastAsia="Times New Roman" w:hAnsi="Calibri" w:cs="Calibri"/>
          <w:b/>
          <w:bCs/>
          <w:i/>
          <w:iCs/>
          <w:kern w:val="0"/>
          <w:lang w:val="fr-CH"/>
          <w14:ligatures w14:val="none"/>
        </w:rPr>
      </w:pPr>
      <w:r w:rsidRPr="0011267F">
        <w:rPr>
          <w:rFonts w:ascii="Calibri" w:eastAsia="Times New Roman" w:hAnsi="Calibri" w:cs="Calibri"/>
          <w:b/>
          <w:bCs/>
          <w:i/>
          <w:iCs/>
          <w:kern w:val="0"/>
          <w:lang w:val="fr-CH"/>
          <w14:ligatures w14:val="none"/>
        </w:rPr>
        <w:t>Examen et analyse des risques d'entreprise</w:t>
      </w:r>
    </w:p>
    <w:p w14:paraId="3A7F9399" w14:textId="77777777" w:rsidR="0011267F" w:rsidRPr="0011267F" w:rsidRDefault="0011267F" w:rsidP="0011267F">
      <w:pPr>
        <w:widowControl w:val="0"/>
        <w:autoSpaceDE w:val="0"/>
        <w:autoSpaceDN w:val="0"/>
        <w:spacing w:before="160" w:after="0" w:line="276" w:lineRule="auto"/>
        <w:ind w:left="119" w:right="120"/>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Dans le cadre de cette responsabilité, le comité examine et délibère sur les stratégies de gestion des risques et, le cas échéant, sur les modifications proposées ou les stratégies révisées. Le comité se concentrera sur les risques stratégiques de l'entreprise qui lui sont transmis, tout en laissant la discussion sur les risques opérationnels à d'autres forums respectifs. (</w:t>
      </w:r>
      <w:proofErr w:type="gramStart"/>
      <w:r w:rsidRPr="0011267F">
        <w:rPr>
          <w:rFonts w:ascii="Calibri" w:eastAsia="Calibri" w:hAnsi="Calibri" w:cs="Calibri"/>
          <w:kern w:val="0"/>
          <w:lang w:val="fr-FR"/>
          <w14:ligatures w14:val="none"/>
        </w:rPr>
        <w:t>par</w:t>
      </w:r>
      <w:proofErr w:type="gramEnd"/>
      <w:r w:rsidRPr="0011267F">
        <w:rPr>
          <w:rFonts w:ascii="Calibri" w:eastAsia="Calibri" w:hAnsi="Calibri" w:cs="Calibri"/>
          <w:kern w:val="0"/>
          <w:lang w:val="fr-FR"/>
          <w14:ligatures w14:val="none"/>
        </w:rPr>
        <w:t xml:space="preserve"> exemple, l'OPG, le SMG, l'ET </w:t>
      </w:r>
      <w:proofErr w:type="spellStart"/>
      <w:r w:rsidRPr="0011267F">
        <w:rPr>
          <w:rFonts w:ascii="Calibri" w:eastAsia="Calibri" w:hAnsi="Calibri" w:cs="Calibri"/>
          <w:kern w:val="0"/>
          <w:lang w:val="fr-FR"/>
          <w14:ligatures w14:val="none"/>
        </w:rPr>
        <w:t>et</w:t>
      </w:r>
      <w:proofErr w:type="spellEnd"/>
      <w:r w:rsidRPr="0011267F">
        <w:rPr>
          <w:rFonts w:ascii="Calibri" w:eastAsia="Calibri" w:hAnsi="Calibri" w:cs="Calibri"/>
          <w:kern w:val="0"/>
          <w:lang w:val="fr-FR"/>
          <w14:ligatures w14:val="none"/>
        </w:rPr>
        <w:t xml:space="preserve"> le Conseil de crise).</w:t>
      </w:r>
    </w:p>
    <w:p w14:paraId="4B4E3AA2" w14:textId="77777777" w:rsidR="0011267F" w:rsidRPr="0011267F" w:rsidRDefault="0011267F" w:rsidP="0011267F">
      <w:pPr>
        <w:widowControl w:val="0"/>
        <w:numPr>
          <w:ilvl w:val="1"/>
          <w:numId w:val="3"/>
        </w:numPr>
        <w:tabs>
          <w:tab w:val="left" w:pos="840"/>
        </w:tabs>
        <w:autoSpaceDE w:val="0"/>
        <w:autoSpaceDN w:val="0"/>
        <w:spacing w:before="120" w:after="0" w:line="240" w:lineRule="auto"/>
        <w:ind w:hanging="361"/>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Risques identifiés par l'entreprise</w:t>
      </w:r>
      <w:r w:rsidRPr="0011267F">
        <w:rPr>
          <w:rFonts w:ascii="Times New Roman" w:eastAsia="Arial" w:hAnsi="Times New Roman" w:cs="Times New Roman"/>
          <w:spacing w:val="-12"/>
          <w:kern w:val="0"/>
          <w:lang w:val="fr-FR"/>
          <w14:ligatures w14:val="none"/>
        </w:rPr>
        <w:t xml:space="preserve"> </w:t>
      </w:r>
      <w:r w:rsidRPr="0011267F">
        <w:rPr>
          <w:rFonts w:ascii="Times New Roman" w:eastAsia="Arial" w:hAnsi="Times New Roman" w:cs="Times New Roman"/>
          <w:spacing w:val="-10"/>
          <w:kern w:val="0"/>
          <w:lang w:val="fr-FR"/>
          <w14:ligatures w14:val="none"/>
        </w:rPr>
        <w:t>;</w:t>
      </w:r>
    </w:p>
    <w:p w14:paraId="132C41D4"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 président et le membre du comité peuvent soumettre au comité les risques identifiés qui doivent être transmis au comité par le biais des différents mécanismes de l'entreprise, par ex :</w:t>
      </w:r>
    </w:p>
    <w:p w14:paraId="23E627DA"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 groupe de performance organisationnelle (OPG) pour les risques institutionnels importants liés à la performance organisationnelle, y compris les priorités en matière de risques d'audit ;</w:t>
      </w:r>
    </w:p>
    <w:p w14:paraId="4F9394C3"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L'équipe de direction, pour les risques liés au contexte et aux environnements dans lesquels le bureau de pays spécifique opère ;</w:t>
      </w:r>
    </w:p>
    <w:p w14:paraId="6BBECA03"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 Crisis Board, pour les risques liés à un programme pays particulier en crise ;</w:t>
      </w:r>
    </w:p>
    <w:p w14:paraId="1158D8BE"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Calibri" w:eastAsia="Calibri" w:hAnsi="Calibri" w:cs="Calibri"/>
          <w:kern w:val="0"/>
          <w:lang w:val="fr-FR"/>
          <w14:ligatures w14:val="none"/>
        </w:rPr>
      </w:pPr>
      <w:proofErr w:type="gramStart"/>
      <w:r w:rsidRPr="0011267F">
        <w:rPr>
          <w:rFonts w:ascii="Calibri" w:eastAsia="Calibri" w:hAnsi="Calibri" w:cs="Calibri"/>
          <w:kern w:val="0"/>
          <w:lang w:val="fr-FR"/>
          <w14:ligatures w14:val="none"/>
        </w:rPr>
        <w:t>le</w:t>
      </w:r>
      <w:proofErr w:type="gramEnd"/>
      <w:r w:rsidRPr="0011267F">
        <w:rPr>
          <w:rFonts w:ascii="Calibri" w:eastAsia="Calibri" w:hAnsi="Calibri" w:cs="Calibri"/>
          <w:kern w:val="0"/>
          <w:lang w:val="fr-FR"/>
          <w14:ligatures w14:val="none"/>
        </w:rPr>
        <w:t xml:space="preserve"> groupe de gestion de la sécurité pour les risques liés à la sûreté et à la sécurité du personnel ainsi qu'à la continuité des activités au siège ; et</w:t>
      </w:r>
    </w:p>
    <w:p w14:paraId="187FAA0C" w14:textId="77777777" w:rsidR="0011267F" w:rsidRPr="0011267F" w:rsidRDefault="0011267F" w:rsidP="0011267F">
      <w:pPr>
        <w:widowControl w:val="0"/>
        <w:numPr>
          <w:ilvl w:val="2"/>
          <w:numId w:val="3"/>
        </w:numPr>
        <w:autoSpaceDE w:val="0"/>
        <w:autoSpaceDN w:val="0"/>
        <w:adjustRightInd w:val="0"/>
        <w:spacing w:after="120" w:line="276" w:lineRule="auto"/>
        <w:jc w:val="both"/>
        <w:rPr>
          <w:rFonts w:ascii="Times New Roman" w:eastAsia="Times New Roman" w:hAnsi="Times New Roman" w:cs="Times New Roman"/>
          <w:kern w:val="0"/>
          <w:lang w:val="fr-CH"/>
          <w14:ligatures w14:val="none"/>
        </w:rPr>
      </w:pPr>
      <w:r w:rsidRPr="0011267F">
        <w:rPr>
          <w:rFonts w:ascii="Calibri" w:eastAsia="Calibri" w:hAnsi="Calibri" w:cs="Calibri"/>
          <w:kern w:val="0"/>
          <w:lang w:val="fr-FR"/>
          <w14:ligatures w14:val="none"/>
        </w:rPr>
        <w:t>Autres mécanismes d'entreprise, le cas échéant</w:t>
      </w:r>
      <w:r w:rsidRPr="0011267F">
        <w:rPr>
          <w:rFonts w:ascii="Times New Roman" w:eastAsia="Times New Roman" w:hAnsi="Times New Roman" w:cs="Times New Roman"/>
          <w:kern w:val="0"/>
          <w:lang w:val="fr-CH"/>
          <w14:ligatures w14:val="none"/>
        </w:rPr>
        <w:t>.</w:t>
      </w:r>
    </w:p>
    <w:p w14:paraId="74AB4A99" w14:textId="77777777" w:rsidR="0011267F" w:rsidRPr="0011267F" w:rsidRDefault="0011267F" w:rsidP="0011267F">
      <w:pPr>
        <w:widowControl w:val="0"/>
        <w:autoSpaceDE w:val="0"/>
        <w:autoSpaceDN w:val="0"/>
        <w:spacing w:before="8" w:after="0" w:line="240" w:lineRule="auto"/>
        <w:rPr>
          <w:rFonts w:ascii="Times New Roman" w:eastAsia="Arial" w:hAnsi="Times New Roman" w:cs="Times New Roman"/>
          <w:kern w:val="0"/>
          <w:sz w:val="28"/>
          <w:szCs w:val="24"/>
          <w:lang w:val="fr-FR"/>
          <w14:ligatures w14:val="none"/>
        </w:rPr>
      </w:pPr>
    </w:p>
    <w:p w14:paraId="6A59D148" w14:textId="77777777" w:rsidR="0011267F" w:rsidRPr="0011267F" w:rsidRDefault="0011267F" w:rsidP="0011267F">
      <w:pPr>
        <w:widowControl w:val="0"/>
        <w:numPr>
          <w:ilvl w:val="1"/>
          <w:numId w:val="3"/>
        </w:numPr>
        <w:tabs>
          <w:tab w:val="left" w:pos="840"/>
        </w:tabs>
        <w:autoSpaceDE w:val="0"/>
        <w:autoSpaceDN w:val="0"/>
        <w:spacing w:after="0" w:line="240" w:lineRule="auto"/>
        <w:ind w:hanging="361"/>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Analyse du registre des risques agrégé</w:t>
      </w:r>
      <w:r w:rsidRPr="0011267F">
        <w:rPr>
          <w:rFonts w:ascii="Times New Roman" w:eastAsia="Arial" w:hAnsi="Times New Roman" w:cs="Times New Roman"/>
          <w:spacing w:val="-8"/>
          <w:kern w:val="0"/>
          <w:lang w:val="fr-FR"/>
          <w14:ligatures w14:val="none"/>
        </w:rPr>
        <w:t xml:space="preserve"> </w:t>
      </w:r>
      <w:r w:rsidRPr="0011267F">
        <w:rPr>
          <w:rFonts w:ascii="Times New Roman" w:eastAsia="Arial" w:hAnsi="Times New Roman" w:cs="Times New Roman"/>
          <w:spacing w:val="-10"/>
          <w:kern w:val="0"/>
          <w:lang w:val="fr-FR"/>
          <w14:ligatures w14:val="none"/>
        </w:rPr>
        <w:t>;</w:t>
      </w:r>
    </w:p>
    <w:p w14:paraId="12BEA12F" w14:textId="77777777" w:rsidR="0011267F" w:rsidRPr="0011267F" w:rsidRDefault="0011267F" w:rsidP="0011267F">
      <w:pPr>
        <w:widowControl w:val="0"/>
        <w:autoSpaceDE w:val="0"/>
        <w:autoSpaceDN w:val="0"/>
        <w:spacing w:after="0" w:line="240" w:lineRule="auto"/>
        <w:jc w:val="both"/>
        <w:rPr>
          <w:rFonts w:ascii="Times New Roman" w:eastAsia="Arial" w:hAnsi="Times New Roman" w:cs="Times New Roman"/>
          <w:kern w:val="0"/>
          <w:lang w:val="fr-FR"/>
          <w14:ligatures w14:val="none"/>
        </w:rPr>
      </w:pPr>
    </w:p>
    <w:p w14:paraId="363A3C60" w14:textId="77777777" w:rsidR="0011267F" w:rsidRPr="0011267F" w:rsidRDefault="0011267F" w:rsidP="0011267F">
      <w:pPr>
        <w:widowControl w:val="0"/>
        <w:autoSpaceDE w:val="0"/>
        <w:autoSpaceDN w:val="0"/>
        <w:spacing w:after="0" w:line="240" w:lineRule="auto"/>
        <w:rPr>
          <w:rFonts w:ascii="Times New Roman" w:eastAsia="Arial" w:hAnsi="Times New Roman" w:cs="Times New Roman"/>
          <w:kern w:val="0"/>
          <w:lang w:val="fr-FR"/>
          <w14:ligatures w14:val="none"/>
        </w:rPr>
      </w:pPr>
    </w:p>
    <w:p w14:paraId="732B0078" w14:textId="77777777" w:rsidR="0011267F" w:rsidRPr="0011267F" w:rsidRDefault="0011267F" w:rsidP="0011267F">
      <w:pPr>
        <w:widowControl w:val="0"/>
        <w:autoSpaceDE w:val="0"/>
        <w:autoSpaceDN w:val="0"/>
        <w:spacing w:after="0" w:line="240" w:lineRule="auto"/>
        <w:rPr>
          <w:rFonts w:ascii="Times New Roman" w:eastAsia="Arial" w:hAnsi="Times New Roman" w:cs="Times New Roman"/>
          <w:kern w:val="0"/>
          <w:lang w:val="fr-FR"/>
          <w14:ligatures w14:val="none"/>
        </w:rPr>
      </w:pPr>
    </w:p>
    <w:p w14:paraId="53BDF461" w14:textId="77777777" w:rsidR="0011267F" w:rsidRPr="0011267F" w:rsidRDefault="0011267F" w:rsidP="0011267F">
      <w:pPr>
        <w:widowControl w:val="0"/>
        <w:autoSpaceDE w:val="0"/>
        <w:autoSpaceDN w:val="0"/>
        <w:spacing w:after="0" w:line="240" w:lineRule="auto"/>
        <w:rPr>
          <w:rFonts w:ascii="Times New Roman" w:eastAsia="Arial" w:hAnsi="Times New Roman" w:cs="Times New Roman"/>
          <w:kern w:val="0"/>
          <w:lang w:val="fr-FR"/>
          <w14:ligatures w14:val="none"/>
        </w:rPr>
      </w:pPr>
    </w:p>
    <w:p w14:paraId="3954FF96" w14:textId="77777777" w:rsidR="0011267F" w:rsidRPr="0011267F" w:rsidRDefault="0011267F" w:rsidP="0011267F">
      <w:pPr>
        <w:widowControl w:val="0"/>
        <w:tabs>
          <w:tab w:val="left" w:pos="7378"/>
        </w:tabs>
        <w:autoSpaceDE w:val="0"/>
        <w:autoSpaceDN w:val="0"/>
        <w:spacing w:after="0" w:line="240" w:lineRule="auto"/>
        <w:rPr>
          <w:rFonts w:ascii="Times New Roman" w:eastAsia="Arial" w:hAnsi="Times New Roman" w:cs="Times New Roman"/>
          <w:kern w:val="0"/>
          <w:lang w:val="fr-FR"/>
          <w14:ligatures w14:val="none"/>
        </w:rPr>
      </w:pPr>
      <w:r w:rsidRPr="0011267F">
        <w:rPr>
          <w:rFonts w:ascii="Times New Roman" w:eastAsia="Arial" w:hAnsi="Times New Roman" w:cs="Times New Roman"/>
          <w:kern w:val="0"/>
          <w:lang w:val="fr-FR"/>
          <w14:ligatures w14:val="none"/>
        </w:rPr>
        <w:tab/>
      </w:r>
    </w:p>
    <w:p w14:paraId="0CDDE8E0" w14:textId="77777777" w:rsidR="0011267F" w:rsidRPr="0011267F" w:rsidRDefault="0011267F" w:rsidP="0011267F">
      <w:pPr>
        <w:widowControl w:val="0"/>
        <w:tabs>
          <w:tab w:val="left" w:pos="7378"/>
        </w:tabs>
        <w:autoSpaceDE w:val="0"/>
        <w:autoSpaceDN w:val="0"/>
        <w:spacing w:after="0" w:line="240" w:lineRule="auto"/>
        <w:rPr>
          <w:rFonts w:ascii="Times New Roman" w:eastAsia="Arial" w:hAnsi="Times New Roman" w:cs="Times New Roman"/>
          <w:kern w:val="0"/>
          <w:lang w:val="fr-FR"/>
          <w14:ligatures w14:val="none"/>
        </w:rPr>
        <w:sectPr w:rsidR="0011267F" w:rsidRPr="0011267F" w:rsidSect="004B57DF">
          <w:footerReference w:type="default" r:id="rId7"/>
          <w:pgSz w:w="11910" w:h="16840"/>
          <w:pgMar w:top="0" w:right="1320" w:bottom="280" w:left="1320" w:header="720" w:footer="720" w:gutter="0"/>
          <w:cols w:space="720"/>
        </w:sectPr>
      </w:pPr>
      <w:r w:rsidRPr="0011267F">
        <w:rPr>
          <w:rFonts w:ascii="Times New Roman" w:eastAsia="Arial" w:hAnsi="Times New Roman" w:cs="Times New Roman"/>
          <w:kern w:val="0"/>
          <w:lang w:val="fr-FR"/>
          <w14:ligatures w14:val="none"/>
        </w:rPr>
        <w:tab/>
      </w:r>
    </w:p>
    <w:p w14:paraId="383B8283" w14:textId="77777777" w:rsidR="0011267F" w:rsidRPr="0011267F" w:rsidRDefault="0011267F" w:rsidP="0011267F">
      <w:pPr>
        <w:widowControl w:val="0"/>
        <w:autoSpaceDE w:val="0"/>
        <w:autoSpaceDN w:val="0"/>
        <w:spacing w:before="42" w:after="0" w:line="276" w:lineRule="auto"/>
        <w:ind w:left="120" w:right="117"/>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lastRenderedPageBreak/>
        <w:t>Deux fois par an, une analyse des risques provenant de toutes les entrées de risques dans les journaux de risques agrégés doit être présentée au Comité afin d'examiner les risques émergents éventuels et/ou les risques dont la criticité augmente et qui pourraient nécessiter des traitements au niveau de l'entreprise. Cette analyse, le cas échéant, peut inclure une comparaison entre les risques enregistrés dans le système et les risques qui se sont matérialisés au cours de la période considérée.</w:t>
      </w:r>
    </w:p>
    <w:p w14:paraId="5E0AAAB6" w14:textId="77777777" w:rsidR="0011267F" w:rsidRPr="0011267F" w:rsidRDefault="0011267F" w:rsidP="0011267F">
      <w:pPr>
        <w:widowControl w:val="0"/>
        <w:numPr>
          <w:ilvl w:val="1"/>
          <w:numId w:val="3"/>
        </w:numPr>
        <w:autoSpaceDE w:val="0"/>
        <w:autoSpaceDN w:val="0"/>
        <w:adjustRightInd w:val="0"/>
        <w:spacing w:after="120" w:line="276" w:lineRule="auto"/>
        <w:ind w:left="720"/>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Risques escaladés du bureau et des unités</w:t>
      </w:r>
    </w:p>
    <w:p w14:paraId="5A440120" w14:textId="77777777" w:rsidR="0011267F" w:rsidRPr="0011267F" w:rsidRDefault="0011267F" w:rsidP="0011267F">
      <w:pPr>
        <w:widowControl w:val="0"/>
        <w:autoSpaceDE w:val="0"/>
        <w:autoSpaceDN w:val="0"/>
        <w:spacing w:before="160" w:after="0" w:line="276" w:lineRule="auto"/>
        <w:ind w:left="119" w:right="118"/>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Conformément aux procédures de remontée des risques, tous les risques remontés au niveau de l'entreprise seront examinés lors de la réunion du comité pour les décisions et les points d'action</w:t>
      </w:r>
      <w:r w:rsidRPr="0011267F">
        <w:rPr>
          <w:rFonts w:ascii="Times New Roman" w:eastAsia="Arial" w:hAnsi="Times New Roman" w:cs="Times New Roman"/>
          <w:kern w:val="0"/>
          <w:lang w:val="fr-FR"/>
          <w14:ligatures w14:val="none"/>
        </w:rPr>
        <w:t>.</w:t>
      </w:r>
    </w:p>
    <w:p w14:paraId="7DEC0FDF" w14:textId="77777777" w:rsidR="0011267F" w:rsidRPr="0011267F" w:rsidRDefault="0011267F" w:rsidP="0011267F">
      <w:pPr>
        <w:widowControl w:val="0"/>
        <w:autoSpaceDE w:val="0"/>
        <w:autoSpaceDN w:val="0"/>
        <w:spacing w:before="160" w:after="0" w:line="276" w:lineRule="auto"/>
        <w:ind w:left="119" w:right="118"/>
        <w:jc w:val="both"/>
        <w:rPr>
          <w:rFonts w:ascii="Times New Roman" w:eastAsia="Arial" w:hAnsi="Times New Roman" w:cs="Times New Roman"/>
          <w:kern w:val="0"/>
          <w:lang w:val="fr-FR"/>
          <w14:ligatures w14:val="none"/>
        </w:rPr>
      </w:pPr>
    </w:p>
    <w:p w14:paraId="6429E9C0" w14:textId="77777777" w:rsidR="0011267F" w:rsidRPr="0011267F" w:rsidRDefault="0011267F" w:rsidP="0011267F">
      <w:pPr>
        <w:widowControl w:val="0"/>
        <w:numPr>
          <w:ilvl w:val="0"/>
          <w:numId w:val="3"/>
        </w:numPr>
        <w:autoSpaceDE w:val="0"/>
        <w:autoSpaceDN w:val="0"/>
        <w:adjustRightInd w:val="0"/>
        <w:spacing w:after="120" w:line="276" w:lineRule="auto"/>
        <w:ind w:left="810"/>
        <w:jc w:val="both"/>
        <w:rPr>
          <w:rFonts w:ascii="Calibri" w:eastAsia="Times New Roman" w:hAnsi="Calibri" w:cs="Calibri"/>
          <w:b/>
          <w:bCs/>
          <w:color w:val="000000"/>
          <w:kern w:val="0"/>
          <w:lang w:val="fr-CH"/>
          <w14:ligatures w14:val="none"/>
        </w:rPr>
      </w:pPr>
      <w:r w:rsidRPr="0011267F">
        <w:rPr>
          <w:rFonts w:ascii="Calibri" w:eastAsia="Times New Roman" w:hAnsi="Calibri" w:cs="Calibri"/>
          <w:b/>
          <w:bCs/>
          <w:i/>
          <w:color w:val="000000"/>
          <w:kern w:val="0"/>
          <w:lang w:val="fr-CH"/>
          <w14:ligatures w14:val="none"/>
        </w:rPr>
        <w:t>Maintenir</w:t>
      </w:r>
      <w:r w:rsidRPr="0011267F">
        <w:rPr>
          <w:rFonts w:ascii="Calibri" w:eastAsia="Times New Roman" w:hAnsi="Calibri" w:cs="Calibri"/>
          <w:b/>
          <w:bCs/>
          <w:i/>
          <w:color w:val="000000"/>
          <w:spacing w:val="-6"/>
          <w:kern w:val="0"/>
          <w:lang w:val="fr-CH"/>
          <w14:ligatures w14:val="none"/>
        </w:rPr>
        <w:t xml:space="preserve"> </w:t>
      </w:r>
      <w:r w:rsidRPr="0011267F">
        <w:rPr>
          <w:rFonts w:ascii="Calibri" w:eastAsia="Times New Roman" w:hAnsi="Calibri" w:cs="Calibri"/>
          <w:b/>
          <w:bCs/>
          <w:i/>
          <w:color w:val="000000"/>
          <w:kern w:val="0"/>
          <w:lang w:val="fr-CH"/>
          <w14:ligatures w14:val="none"/>
        </w:rPr>
        <w:t>le</w:t>
      </w:r>
      <w:r w:rsidRPr="0011267F">
        <w:rPr>
          <w:rFonts w:ascii="Calibri" w:eastAsia="Times New Roman" w:hAnsi="Calibri" w:cs="Calibri"/>
          <w:b/>
          <w:bCs/>
          <w:i/>
          <w:color w:val="000000"/>
          <w:spacing w:val="-3"/>
          <w:kern w:val="0"/>
          <w:lang w:val="fr-CH"/>
          <w14:ligatures w14:val="none"/>
        </w:rPr>
        <w:t xml:space="preserve"> </w:t>
      </w:r>
      <w:r w:rsidRPr="0011267F">
        <w:rPr>
          <w:rFonts w:ascii="Calibri" w:eastAsia="Times New Roman" w:hAnsi="Calibri" w:cs="Calibri"/>
          <w:b/>
          <w:bCs/>
          <w:i/>
          <w:color w:val="000000"/>
          <w:kern w:val="0"/>
          <w:lang w:val="fr-CH"/>
          <w14:ligatures w14:val="none"/>
        </w:rPr>
        <w:t>cadre</w:t>
      </w:r>
      <w:r w:rsidRPr="0011267F">
        <w:rPr>
          <w:rFonts w:ascii="Calibri" w:eastAsia="Times New Roman" w:hAnsi="Calibri" w:cs="Calibri"/>
          <w:b/>
          <w:bCs/>
          <w:i/>
          <w:color w:val="000000"/>
          <w:spacing w:val="-6"/>
          <w:kern w:val="0"/>
          <w:lang w:val="fr-CH"/>
          <w14:ligatures w14:val="none"/>
        </w:rPr>
        <w:t xml:space="preserve"> </w:t>
      </w:r>
      <w:r w:rsidRPr="0011267F">
        <w:rPr>
          <w:rFonts w:ascii="Calibri" w:eastAsia="Times New Roman" w:hAnsi="Calibri" w:cs="Calibri"/>
          <w:b/>
          <w:bCs/>
          <w:i/>
          <w:color w:val="000000"/>
          <w:kern w:val="0"/>
          <w:lang w:val="fr-CH"/>
          <w14:ligatures w14:val="none"/>
        </w:rPr>
        <w:t>global</w:t>
      </w:r>
      <w:r w:rsidRPr="0011267F">
        <w:rPr>
          <w:rFonts w:ascii="Calibri" w:eastAsia="Times New Roman" w:hAnsi="Calibri" w:cs="Calibri"/>
          <w:b/>
          <w:bCs/>
          <w:i/>
          <w:color w:val="000000"/>
          <w:spacing w:val="-5"/>
          <w:kern w:val="0"/>
          <w:lang w:val="fr-CH"/>
          <w14:ligatures w14:val="none"/>
        </w:rPr>
        <w:t xml:space="preserve"> </w:t>
      </w:r>
      <w:r w:rsidRPr="0011267F">
        <w:rPr>
          <w:rFonts w:ascii="Calibri" w:eastAsia="Times New Roman" w:hAnsi="Calibri" w:cs="Calibri"/>
          <w:b/>
          <w:bCs/>
          <w:i/>
          <w:color w:val="000000"/>
          <w:kern w:val="0"/>
          <w:lang w:val="fr-CH"/>
          <w14:ligatures w14:val="none"/>
        </w:rPr>
        <w:t>de</w:t>
      </w:r>
      <w:r w:rsidRPr="0011267F">
        <w:rPr>
          <w:rFonts w:ascii="Calibri" w:eastAsia="Times New Roman" w:hAnsi="Calibri" w:cs="Calibri"/>
          <w:b/>
          <w:bCs/>
          <w:i/>
          <w:color w:val="000000"/>
          <w:spacing w:val="-6"/>
          <w:kern w:val="0"/>
          <w:lang w:val="fr-CH"/>
          <w14:ligatures w14:val="none"/>
        </w:rPr>
        <w:t xml:space="preserve"> </w:t>
      </w:r>
      <w:r w:rsidRPr="0011267F">
        <w:rPr>
          <w:rFonts w:ascii="Calibri" w:eastAsia="Times New Roman" w:hAnsi="Calibri" w:cs="Calibri"/>
          <w:b/>
          <w:bCs/>
          <w:i/>
          <w:color w:val="000000"/>
          <w:kern w:val="0"/>
          <w:lang w:val="fr-CH"/>
          <w14:ligatures w14:val="none"/>
        </w:rPr>
        <w:t>risque</w:t>
      </w:r>
      <w:r w:rsidRPr="0011267F">
        <w:rPr>
          <w:rFonts w:ascii="Calibri" w:eastAsia="Times New Roman" w:hAnsi="Calibri" w:cs="Calibri"/>
          <w:b/>
          <w:bCs/>
          <w:i/>
          <w:color w:val="000000"/>
          <w:spacing w:val="-6"/>
          <w:kern w:val="0"/>
          <w:lang w:val="fr-CH"/>
          <w14:ligatures w14:val="none"/>
        </w:rPr>
        <w:t xml:space="preserve"> </w:t>
      </w:r>
      <w:r w:rsidRPr="0011267F">
        <w:rPr>
          <w:rFonts w:ascii="Calibri" w:eastAsia="Times New Roman" w:hAnsi="Calibri" w:cs="Calibri"/>
          <w:b/>
          <w:bCs/>
          <w:i/>
          <w:color w:val="000000"/>
          <w:kern w:val="0"/>
          <w:lang w:val="fr-CH"/>
          <w14:ligatures w14:val="none"/>
        </w:rPr>
        <w:t>et</w:t>
      </w:r>
      <w:r w:rsidRPr="0011267F">
        <w:rPr>
          <w:rFonts w:ascii="Calibri" w:eastAsia="Times New Roman" w:hAnsi="Calibri" w:cs="Calibri"/>
          <w:b/>
          <w:bCs/>
          <w:i/>
          <w:color w:val="000000"/>
          <w:spacing w:val="-4"/>
          <w:kern w:val="0"/>
          <w:lang w:val="fr-CH"/>
          <w14:ligatures w14:val="none"/>
        </w:rPr>
        <w:t xml:space="preserve"> </w:t>
      </w:r>
      <w:r w:rsidRPr="0011267F">
        <w:rPr>
          <w:rFonts w:ascii="Calibri" w:eastAsia="Times New Roman" w:hAnsi="Calibri" w:cs="Calibri"/>
          <w:b/>
          <w:bCs/>
          <w:i/>
          <w:color w:val="000000"/>
          <w:kern w:val="0"/>
          <w:lang w:val="fr-CH"/>
          <w14:ligatures w14:val="none"/>
        </w:rPr>
        <w:t>de</w:t>
      </w:r>
      <w:r w:rsidRPr="0011267F">
        <w:rPr>
          <w:rFonts w:ascii="Calibri" w:eastAsia="Times New Roman" w:hAnsi="Calibri" w:cs="Calibri"/>
          <w:b/>
          <w:bCs/>
          <w:i/>
          <w:color w:val="000000"/>
          <w:spacing w:val="-6"/>
          <w:kern w:val="0"/>
          <w:lang w:val="fr-CH"/>
          <w14:ligatures w14:val="none"/>
        </w:rPr>
        <w:t xml:space="preserve"> </w:t>
      </w:r>
      <w:r w:rsidRPr="0011267F">
        <w:rPr>
          <w:rFonts w:ascii="Calibri" w:eastAsia="Times New Roman" w:hAnsi="Calibri" w:cs="Calibri"/>
          <w:b/>
          <w:bCs/>
          <w:i/>
          <w:iCs/>
          <w:kern w:val="0"/>
          <w:lang w:val="fr-CH"/>
          <w14:ligatures w14:val="none"/>
        </w:rPr>
        <w:t>résilience</w:t>
      </w:r>
    </w:p>
    <w:p w14:paraId="36F961D0" w14:textId="77777777" w:rsidR="0011267F" w:rsidRPr="0011267F" w:rsidRDefault="0011267F" w:rsidP="0011267F">
      <w:pPr>
        <w:widowControl w:val="0"/>
        <w:autoSpaceDE w:val="0"/>
        <w:autoSpaceDN w:val="0"/>
        <w:spacing w:before="42" w:after="0" w:line="276" w:lineRule="auto"/>
        <w:ind w:left="120" w:right="117"/>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Dans le cadre de cette responsabilité, le comité examinera les politiques et procédures relatives à la gestion des risques de l'entreprise, y compris les aspects stratégiques de la gestion de la continuité des activités (BCM), de la gestion des incidents et des crises (ICM) et des réserves pour risques.</w:t>
      </w:r>
    </w:p>
    <w:p w14:paraId="182A3418" w14:textId="77777777" w:rsidR="0011267F" w:rsidRPr="0011267F" w:rsidRDefault="0011267F" w:rsidP="0011267F">
      <w:pPr>
        <w:widowControl w:val="0"/>
        <w:autoSpaceDE w:val="0"/>
        <w:autoSpaceDN w:val="0"/>
        <w:spacing w:before="42" w:after="0" w:line="276" w:lineRule="auto"/>
        <w:ind w:left="120" w:right="117"/>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Dans le cadre de cette fonction, le comité devrait également se pencher sur l'aspect global de la gestion des connaissances en matière de risques, y compris la saisie, l'examen des enseignements tirés et des meilleures pratiques à appliquer et/ou à diffuser dans toute l'organisation.</w:t>
      </w:r>
    </w:p>
    <w:p w14:paraId="261D33CB" w14:textId="77777777" w:rsidR="0011267F" w:rsidRPr="0011267F" w:rsidRDefault="0011267F" w:rsidP="0011267F">
      <w:pPr>
        <w:widowControl w:val="0"/>
        <w:autoSpaceDE w:val="0"/>
        <w:autoSpaceDN w:val="0"/>
        <w:spacing w:before="42" w:after="0" w:line="276" w:lineRule="auto"/>
        <w:ind w:left="120" w:right="117"/>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Dans l'exercice de cette fonction, le Comité peut demander au Groupe de performance organisationnelle (OPG) de fournir des contributions et des commentaires avant que les politiques pertinentes ne soient proposées au Groupe exécutif (EG) pour approbation.</w:t>
      </w:r>
    </w:p>
    <w:p w14:paraId="4958B9A1" w14:textId="77777777" w:rsidR="0011267F" w:rsidRPr="0011267F" w:rsidRDefault="0011267F" w:rsidP="0011267F">
      <w:pPr>
        <w:widowControl w:val="0"/>
        <w:autoSpaceDE w:val="0"/>
        <w:autoSpaceDN w:val="0"/>
        <w:spacing w:before="42" w:after="0" w:line="276" w:lineRule="auto"/>
        <w:ind w:left="120" w:right="117"/>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Le Comité des risques examine également la déclaration d'appétit pour le risque du PNUD et la recommande au GE pour approbation. Cette déclaration doit être revue et mise à jour si nécessaire</w:t>
      </w:r>
      <w:r w:rsidRPr="0011267F">
        <w:rPr>
          <w:rFonts w:ascii="Times New Roman" w:eastAsia="Arial" w:hAnsi="Times New Roman" w:cs="Times New Roman"/>
          <w:kern w:val="0"/>
          <w:lang w:val="fr-FR"/>
          <w14:ligatures w14:val="none"/>
        </w:rPr>
        <w:t>.</w:t>
      </w:r>
    </w:p>
    <w:p w14:paraId="6BD628E2" w14:textId="77777777" w:rsidR="0011267F" w:rsidRPr="0011267F" w:rsidRDefault="0011267F" w:rsidP="0011267F">
      <w:pPr>
        <w:widowControl w:val="0"/>
        <w:autoSpaceDE w:val="0"/>
        <w:autoSpaceDN w:val="0"/>
        <w:spacing w:before="121" w:after="0" w:line="276" w:lineRule="auto"/>
        <w:ind w:left="120" w:right="122"/>
        <w:jc w:val="both"/>
        <w:rPr>
          <w:rFonts w:ascii="Times New Roman" w:eastAsia="Arial" w:hAnsi="Times New Roman" w:cs="Times New Roman"/>
          <w:kern w:val="0"/>
          <w:sz w:val="24"/>
          <w:szCs w:val="24"/>
          <w:lang w:val="fr-FR"/>
          <w14:ligatures w14:val="none"/>
        </w:rPr>
      </w:pPr>
    </w:p>
    <w:p w14:paraId="11EB4650" w14:textId="77777777" w:rsidR="0011267F" w:rsidRPr="0011267F" w:rsidRDefault="0011267F" w:rsidP="0011267F">
      <w:pPr>
        <w:widowControl w:val="0"/>
        <w:numPr>
          <w:ilvl w:val="0"/>
          <w:numId w:val="3"/>
        </w:numPr>
        <w:autoSpaceDE w:val="0"/>
        <w:autoSpaceDN w:val="0"/>
        <w:adjustRightInd w:val="0"/>
        <w:spacing w:after="120" w:line="276" w:lineRule="auto"/>
        <w:ind w:left="810"/>
        <w:jc w:val="both"/>
        <w:rPr>
          <w:rFonts w:ascii="Calibri" w:eastAsia="Times New Roman" w:hAnsi="Calibri" w:cs="Calibri"/>
          <w:b/>
          <w:bCs/>
          <w:i/>
          <w:iCs/>
          <w:kern w:val="0"/>
          <w:lang w:val="fr-CH"/>
          <w14:ligatures w14:val="none"/>
        </w:rPr>
      </w:pPr>
      <w:r w:rsidRPr="0011267F">
        <w:rPr>
          <w:rFonts w:ascii="Calibri" w:eastAsia="Times New Roman" w:hAnsi="Calibri" w:cs="Calibri"/>
          <w:b/>
          <w:bCs/>
          <w:i/>
          <w:iCs/>
          <w:kern w:val="0"/>
          <w:lang w:val="fr-CH"/>
          <w14:ligatures w14:val="none"/>
        </w:rPr>
        <w:t>Comité de vérification des entreprises (CVC)</w:t>
      </w:r>
    </w:p>
    <w:p w14:paraId="09F5273C" w14:textId="77777777" w:rsidR="0011267F" w:rsidRPr="0011267F" w:rsidRDefault="0011267F" w:rsidP="0011267F">
      <w:pPr>
        <w:widowControl w:val="0"/>
        <w:autoSpaceDE w:val="0"/>
        <w:autoSpaceDN w:val="0"/>
        <w:spacing w:before="160" w:after="0" w:line="240" w:lineRule="auto"/>
        <w:ind w:left="120" w:right="119"/>
        <w:jc w:val="both"/>
        <w:rPr>
          <w:rFonts w:ascii="Times New Roman" w:eastAsia="Arial" w:hAnsi="Times New Roman" w:cs="Times New Roman"/>
          <w:kern w:val="0"/>
          <w:sz w:val="24"/>
          <w:szCs w:val="24"/>
          <w:lang w:val="fr-FR"/>
          <w14:ligatures w14:val="none"/>
        </w:rPr>
      </w:pPr>
      <w:r w:rsidRPr="0011267F">
        <w:rPr>
          <w:rFonts w:ascii="Calibri" w:eastAsia="Calibri" w:hAnsi="Calibri" w:cs="Calibri"/>
          <w:kern w:val="0"/>
          <w:lang w:val="fr-FR"/>
          <w14:ligatures w14:val="none"/>
        </w:rPr>
        <w:t xml:space="preserve">Le Comité des risques du PNUD fait également office de Comité de vérification des entreprises. Des experts et d'autres représentants pertinents peuvent être invités, selon les besoins, à soutenir les délibérations du comité. Le CVC est chargé de conseiller le Senior </w:t>
      </w:r>
      <w:proofErr w:type="spellStart"/>
      <w:r w:rsidRPr="0011267F">
        <w:rPr>
          <w:rFonts w:ascii="Calibri" w:eastAsia="Calibri" w:hAnsi="Calibri" w:cs="Calibri"/>
          <w:kern w:val="0"/>
          <w:lang w:val="fr-FR"/>
          <w14:ligatures w14:val="none"/>
        </w:rPr>
        <w:t>Designated</w:t>
      </w:r>
      <w:proofErr w:type="spellEnd"/>
      <w:r w:rsidRPr="0011267F">
        <w:rPr>
          <w:rFonts w:ascii="Calibri" w:eastAsia="Calibri" w:hAnsi="Calibri" w:cs="Calibri"/>
          <w:kern w:val="0"/>
          <w:lang w:val="fr-FR"/>
          <w14:ligatures w14:val="none"/>
        </w:rPr>
        <w:t xml:space="preserve"> </w:t>
      </w:r>
      <w:proofErr w:type="spellStart"/>
      <w:r w:rsidRPr="0011267F">
        <w:rPr>
          <w:rFonts w:ascii="Calibri" w:eastAsia="Calibri" w:hAnsi="Calibri" w:cs="Calibri"/>
          <w:kern w:val="0"/>
          <w:lang w:val="fr-FR"/>
          <w14:ligatures w14:val="none"/>
        </w:rPr>
        <w:t>Officer</w:t>
      </w:r>
      <w:proofErr w:type="spellEnd"/>
      <w:r w:rsidRPr="0011267F">
        <w:rPr>
          <w:rFonts w:ascii="Calibri" w:eastAsia="Calibri" w:hAnsi="Calibri" w:cs="Calibri"/>
          <w:kern w:val="0"/>
          <w:lang w:val="fr-FR"/>
          <w14:ligatures w14:val="none"/>
        </w:rPr>
        <w:t xml:space="preserve"> (SDO)</w:t>
      </w:r>
      <w:r w:rsidRPr="0011267F">
        <w:rPr>
          <w:rFonts w:ascii="Calibri" w:eastAsia="Calibri" w:hAnsi="Calibri" w:cs="Calibri"/>
          <w:kern w:val="0"/>
          <w:lang w:val="fr-FR"/>
          <w14:ligatures w14:val="none"/>
        </w:rPr>
        <w:footnoteReference w:id="1"/>
      </w:r>
      <w:r w:rsidRPr="0011267F">
        <w:rPr>
          <w:rFonts w:ascii="Calibri" w:eastAsia="Calibri" w:hAnsi="Calibri" w:cs="Calibri"/>
          <w:kern w:val="0"/>
          <w:lang w:val="fr-FR"/>
          <w14:ligatures w14:val="none"/>
        </w:rPr>
        <w:t xml:space="preserve"> sur les points suivants</w:t>
      </w:r>
      <w:r w:rsidRPr="0011267F">
        <w:rPr>
          <w:rFonts w:ascii="Times New Roman" w:eastAsia="Arial" w:hAnsi="Times New Roman" w:cs="Times New Roman"/>
          <w:kern w:val="0"/>
          <w:sz w:val="24"/>
          <w:szCs w:val="24"/>
          <w:lang w:val="fr-FR"/>
          <w14:ligatures w14:val="none"/>
        </w:rPr>
        <w:t xml:space="preserve"> :</w:t>
      </w:r>
    </w:p>
    <w:p w14:paraId="1CEED6CE" w14:textId="77777777" w:rsidR="0011267F" w:rsidRPr="0011267F" w:rsidRDefault="0011267F" w:rsidP="0011267F">
      <w:pPr>
        <w:widowControl w:val="0"/>
        <w:autoSpaceDE w:val="0"/>
        <w:autoSpaceDN w:val="0"/>
        <w:spacing w:after="0" w:line="240" w:lineRule="auto"/>
        <w:rPr>
          <w:rFonts w:ascii="Times New Roman" w:eastAsia="Arial" w:hAnsi="Times New Roman" w:cs="Times New Roman"/>
          <w:kern w:val="0"/>
          <w:sz w:val="24"/>
          <w:szCs w:val="24"/>
          <w:lang w:val="fr-FR"/>
          <w14:ligatures w14:val="none"/>
        </w:rPr>
      </w:pPr>
    </w:p>
    <w:p w14:paraId="11B3648C" w14:textId="77777777" w:rsidR="0011267F" w:rsidRPr="0011267F" w:rsidRDefault="0011267F" w:rsidP="0011267F">
      <w:pPr>
        <w:widowControl w:val="0"/>
        <w:numPr>
          <w:ilvl w:val="0"/>
          <w:numId w:val="2"/>
        </w:numPr>
        <w:tabs>
          <w:tab w:val="left" w:pos="622"/>
        </w:tabs>
        <w:autoSpaceDE w:val="0"/>
        <w:autoSpaceDN w:val="0"/>
        <w:spacing w:after="0" w:line="240" w:lineRule="auto"/>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La prise de décision en matière de LBC/FT, y compris :</w:t>
      </w:r>
    </w:p>
    <w:p w14:paraId="2A24FBD1" w14:textId="77777777" w:rsidR="0011267F" w:rsidRPr="0011267F" w:rsidRDefault="0011267F" w:rsidP="0011267F">
      <w:pPr>
        <w:widowControl w:val="0"/>
        <w:numPr>
          <w:ilvl w:val="1"/>
          <w:numId w:val="2"/>
        </w:numPr>
        <w:tabs>
          <w:tab w:val="left" w:pos="1559"/>
          <w:tab w:val="left" w:pos="1560"/>
        </w:tabs>
        <w:autoSpaceDE w:val="0"/>
        <w:autoSpaceDN w:val="0"/>
        <w:spacing w:before="1" w:after="0" w:line="240" w:lineRule="auto"/>
        <w:ind w:left="1559"/>
        <w:rPr>
          <w:rFonts w:ascii="Calibri" w:eastAsia="Calibri" w:hAnsi="Calibri" w:cs="Calibri"/>
          <w:kern w:val="0"/>
          <w:lang w:val="fr-FR"/>
          <w14:ligatures w14:val="none"/>
        </w:rPr>
      </w:pPr>
      <w:r w:rsidRPr="0011267F">
        <w:rPr>
          <w:rFonts w:ascii="Calibri" w:eastAsia="Calibri" w:hAnsi="Calibri" w:cs="Calibri"/>
          <w:kern w:val="0"/>
          <w:lang w:val="fr-FR"/>
          <w14:ligatures w14:val="none"/>
        </w:rPr>
        <w:t>Relations d'affaires avec des contreparties à haut risque ;</w:t>
      </w:r>
    </w:p>
    <w:p w14:paraId="67DD5A2A" w14:textId="77777777" w:rsidR="0011267F" w:rsidRPr="0011267F" w:rsidRDefault="0011267F" w:rsidP="0011267F">
      <w:pPr>
        <w:widowControl w:val="0"/>
        <w:numPr>
          <w:ilvl w:val="1"/>
          <w:numId w:val="2"/>
        </w:numPr>
        <w:tabs>
          <w:tab w:val="left" w:pos="1559"/>
          <w:tab w:val="left" w:pos="1560"/>
        </w:tabs>
        <w:autoSpaceDE w:val="0"/>
        <w:autoSpaceDN w:val="0"/>
        <w:spacing w:after="0" w:line="240" w:lineRule="auto"/>
        <w:ind w:right="119"/>
        <w:rPr>
          <w:rFonts w:ascii="Calibri" w:eastAsia="Calibri" w:hAnsi="Calibri" w:cs="Calibri"/>
          <w:kern w:val="0"/>
          <w:lang w:val="fr-FR"/>
          <w14:ligatures w14:val="none"/>
        </w:rPr>
      </w:pPr>
      <w:r w:rsidRPr="0011267F">
        <w:rPr>
          <w:rFonts w:ascii="Calibri" w:eastAsia="Calibri" w:hAnsi="Calibri" w:cs="Calibri"/>
          <w:kern w:val="0"/>
          <w:lang w:val="fr-FR"/>
          <w14:ligatures w14:val="none"/>
        </w:rPr>
        <w:t xml:space="preserve">Relations avec les contreparties à supprimer, à interdire et/ou à ajouter à la </w:t>
      </w:r>
      <w:r w:rsidRPr="0011267F">
        <w:rPr>
          <w:rFonts w:ascii="Calibri" w:eastAsia="Calibri" w:hAnsi="Calibri" w:cs="Calibri"/>
          <w:color w:val="4F81BD"/>
          <w:kern w:val="0"/>
          <w:u w:val="single"/>
          <w:lang w:val="fr-FR"/>
          <w14:ligatures w14:val="none"/>
        </w:rPr>
        <w:t>"</w:t>
      </w:r>
      <w:hyperlink r:id="rId8">
        <w:r w:rsidRPr="0011267F">
          <w:rPr>
            <w:rFonts w:ascii="Calibri" w:eastAsia="Calibri" w:hAnsi="Calibri" w:cs="Calibri"/>
            <w:color w:val="4F81BD"/>
            <w:kern w:val="0"/>
            <w:u w:val="single"/>
            <w:lang w:val="fr-FR"/>
            <w14:ligatures w14:val="none"/>
          </w:rPr>
          <w:t>liste</w:t>
        </w:r>
      </w:hyperlink>
      <w:r w:rsidRPr="0011267F">
        <w:rPr>
          <w:rFonts w:ascii="Calibri" w:eastAsia="Calibri" w:hAnsi="Calibri" w:cs="Calibri"/>
          <w:color w:val="4F81BD"/>
          <w:kern w:val="0"/>
          <w:u w:val="single"/>
          <w:lang w:val="fr-FR"/>
          <w14:ligatures w14:val="none"/>
        </w:rPr>
        <w:t xml:space="preserve"> </w:t>
      </w:r>
      <w:hyperlink r:id="rId9">
        <w:r w:rsidRPr="0011267F">
          <w:rPr>
            <w:rFonts w:ascii="Calibri" w:eastAsia="Calibri" w:hAnsi="Calibri" w:cs="Calibri"/>
            <w:color w:val="4F81BD"/>
            <w:kern w:val="0"/>
            <w:u w:val="single"/>
            <w:lang w:val="fr-FR"/>
            <w14:ligatures w14:val="none"/>
          </w:rPr>
          <w:t>interne des exclus"</w:t>
        </w:r>
      </w:hyperlink>
      <w:r w:rsidRPr="0011267F">
        <w:rPr>
          <w:rFonts w:ascii="Calibri" w:eastAsia="Calibri" w:hAnsi="Calibri" w:cs="Calibri"/>
          <w:kern w:val="0"/>
          <w:lang w:val="fr-FR"/>
          <w14:ligatures w14:val="none"/>
        </w:rPr>
        <w:t>;</w:t>
      </w:r>
    </w:p>
    <w:p w14:paraId="31D8E3E9" w14:textId="77777777" w:rsidR="0011267F" w:rsidRPr="0011267F" w:rsidRDefault="0011267F" w:rsidP="0011267F">
      <w:pPr>
        <w:widowControl w:val="0"/>
        <w:numPr>
          <w:ilvl w:val="1"/>
          <w:numId w:val="2"/>
        </w:numPr>
        <w:tabs>
          <w:tab w:val="left" w:pos="1559"/>
          <w:tab w:val="left" w:pos="1560"/>
        </w:tabs>
        <w:autoSpaceDE w:val="0"/>
        <w:autoSpaceDN w:val="0"/>
        <w:spacing w:after="0" w:line="280" w:lineRule="exact"/>
        <w:ind w:left="1559"/>
        <w:rPr>
          <w:rFonts w:ascii="Calibri" w:eastAsia="Calibri" w:hAnsi="Calibri" w:cs="Calibri"/>
          <w:kern w:val="0"/>
          <w:lang w:val="fr-FR"/>
          <w14:ligatures w14:val="none"/>
        </w:rPr>
      </w:pPr>
      <w:proofErr w:type="gramStart"/>
      <w:r w:rsidRPr="0011267F">
        <w:rPr>
          <w:rFonts w:ascii="Calibri" w:eastAsia="Calibri" w:hAnsi="Calibri" w:cs="Calibri"/>
          <w:kern w:val="0"/>
          <w:lang w:val="fr-FR"/>
          <w14:ligatures w14:val="none"/>
        </w:rPr>
        <w:t>les</w:t>
      </w:r>
      <w:proofErr w:type="gramEnd"/>
      <w:r w:rsidRPr="0011267F">
        <w:rPr>
          <w:rFonts w:ascii="Calibri" w:eastAsia="Calibri" w:hAnsi="Calibri" w:cs="Calibri"/>
          <w:kern w:val="0"/>
          <w:lang w:val="fr-FR"/>
          <w14:ligatures w14:val="none"/>
        </w:rPr>
        <w:t xml:space="preserve"> contreparties à ajouter à la </w:t>
      </w:r>
      <w:r w:rsidRPr="0011267F">
        <w:rPr>
          <w:rFonts w:ascii="Calibri" w:eastAsia="Calibri" w:hAnsi="Calibri" w:cs="Calibri"/>
          <w:color w:val="4F81BD"/>
          <w:kern w:val="0"/>
          <w:u w:val="single"/>
          <w:lang w:val="fr-FR"/>
          <w14:ligatures w14:val="none"/>
        </w:rPr>
        <w:t>"</w:t>
      </w:r>
      <w:hyperlink r:id="rId10">
        <w:r w:rsidRPr="0011267F">
          <w:rPr>
            <w:rFonts w:ascii="Calibri" w:eastAsia="Calibri" w:hAnsi="Calibri" w:cs="Calibri"/>
            <w:color w:val="4F81BD"/>
            <w:kern w:val="0"/>
            <w:u w:val="single"/>
            <w:lang w:val="fr-FR"/>
            <w14:ligatures w14:val="none"/>
          </w:rPr>
          <w:t>liste de dispense</w:t>
        </w:r>
      </w:hyperlink>
      <w:r w:rsidRPr="0011267F">
        <w:rPr>
          <w:rFonts w:ascii="Calibri" w:eastAsia="Calibri" w:hAnsi="Calibri" w:cs="Calibri"/>
          <w:color w:val="4F81BD"/>
          <w:kern w:val="0"/>
          <w:u w:val="single"/>
          <w:lang w:val="fr-FR"/>
          <w14:ligatures w14:val="none"/>
        </w:rPr>
        <w:t>"</w:t>
      </w:r>
      <w:r w:rsidRPr="0011267F">
        <w:rPr>
          <w:rFonts w:ascii="Calibri" w:eastAsia="Calibri" w:hAnsi="Calibri" w:cs="Calibri"/>
          <w:color w:val="4F81BD"/>
          <w:kern w:val="0"/>
          <w:lang w:val="fr-FR"/>
          <w14:ligatures w14:val="none"/>
        </w:rPr>
        <w:t xml:space="preserve"> </w:t>
      </w:r>
      <w:r w:rsidRPr="0011267F">
        <w:rPr>
          <w:rFonts w:ascii="Calibri" w:eastAsia="Calibri" w:hAnsi="Calibri" w:cs="Calibri"/>
          <w:kern w:val="0"/>
          <w:lang w:val="fr-FR"/>
          <w14:ligatures w14:val="none"/>
        </w:rPr>
        <w:t>; et</w:t>
      </w:r>
    </w:p>
    <w:p w14:paraId="68AC35A3" w14:textId="77777777" w:rsidR="0011267F" w:rsidRPr="0011267F" w:rsidRDefault="0011267F" w:rsidP="0011267F">
      <w:pPr>
        <w:widowControl w:val="0"/>
        <w:numPr>
          <w:ilvl w:val="1"/>
          <w:numId w:val="2"/>
        </w:numPr>
        <w:tabs>
          <w:tab w:val="left" w:pos="1559"/>
          <w:tab w:val="left" w:pos="1560"/>
        </w:tabs>
        <w:autoSpaceDE w:val="0"/>
        <w:autoSpaceDN w:val="0"/>
        <w:spacing w:after="0" w:line="240" w:lineRule="auto"/>
        <w:ind w:left="1559" w:right="117"/>
        <w:rPr>
          <w:rFonts w:ascii="Calibri" w:eastAsia="Calibri" w:hAnsi="Calibri" w:cs="Calibri"/>
          <w:kern w:val="0"/>
          <w:lang w:val="fr-FR"/>
          <w14:ligatures w14:val="none"/>
        </w:rPr>
      </w:pPr>
      <w:r w:rsidRPr="0011267F">
        <w:rPr>
          <w:rFonts w:ascii="Calibri" w:eastAsia="Calibri" w:hAnsi="Calibri" w:cs="Calibri"/>
          <w:kern w:val="0"/>
          <w:lang w:val="fr-FR"/>
          <w14:ligatures w14:val="none"/>
        </w:rPr>
        <w:t>Toute autre question connexe qui nécessite un examen et une prise de décision au niveau supérieur, comme le juge l'OEN.</w:t>
      </w:r>
    </w:p>
    <w:p w14:paraId="31929FCF" w14:textId="77777777" w:rsidR="0011267F" w:rsidRPr="0011267F" w:rsidRDefault="0011267F" w:rsidP="0011267F">
      <w:pPr>
        <w:widowControl w:val="0"/>
        <w:numPr>
          <w:ilvl w:val="0"/>
          <w:numId w:val="2"/>
        </w:numPr>
        <w:tabs>
          <w:tab w:val="left" w:pos="622"/>
        </w:tabs>
        <w:autoSpaceDE w:val="0"/>
        <w:autoSpaceDN w:val="0"/>
        <w:spacing w:after="0" w:line="240" w:lineRule="auto"/>
        <w:ind w:right="120"/>
        <w:rPr>
          <w:rFonts w:ascii="Times New Roman" w:eastAsia="Arial" w:hAnsi="Times New Roman" w:cs="Times New Roman"/>
          <w:color w:val="2E5395"/>
          <w:kern w:val="0"/>
          <w:lang w:val="fr-FR"/>
          <w14:ligatures w14:val="none"/>
        </w:rPr>
      </w:pPr>
      <w:r w:rsidRPr="0011267F">
        <w:rPr>
          <w:rFonts w:ascii="Calibri" w:eastAsia="Calibri" w:hAnsi="Calibri" w:cs="Calibri"/>
          <w:kern w:val="0"/>
          <w:lang w:val="fr-FR"/>
          <w14:ligatures w14:val="none"/>
        </w:rPr>
        <w:t>Mise en œuvre et perfectionnement (selon les besoins) de la politique, des processus, des outils</w:t>
      </w:r>
      <w:r w:rsidRPr="0011267F">
        <w:rPr>
          <w:rFonts w:ascii="Times New Roman" w:eastAsia="Arial" w:hAnsi="Times New Roman" w:cs="Times New Roman"/>
          <w:kern w:val="0"/>
          <w:lang w:val="fr-FR"/>
          <w14:ligatures w14:val="none"/>
        </w:rPr>
        <w:t xml:space="preserve"> </w:t>
      </w:r>
      <w:bookmarkStart w:id="4" w:name="Arrangement_de_gestion"/>
      <w:bookmarkEnd w:id="4"/>
    </w:p>
    <w:p w14:paraId="610989C3" w14:textId="77777777" w:rsidR="0011267F" w:rsidRPr="0011267F" w:rsidRDefault="0011267F" w:rsidP="0011267F">
      <w:pPr>
        <w:widowControl w:val="0"/>
        <w:tabs>
          <w:tab w:val="left" w:pos="622"/>
        </w:tabs>
        <w:autoSpaceDE w:val="0"/>
        <w:autoSpaceDN w:val="0"/>
        <w:spacing w:after="0" w:line="240" w:lineRule="auto"/>
        <w:ind w:left="261" w:right="120"/>
        <w:rPr>
          <w:rFonts w:ascii="Times New Roman" w:eastAsia="Arial" w:hAnsi="Times New Roman" w:cs="Times New Roman"/>
          <w:color w:val="2E5395"/>
          <w:kern w:val="0"/>
          <w:lang w:val="fr-FR"/>
          <w14:ligatures w14:val="none"/>
        </w:rPr>
      </w:pPr>
    </w:p>
    <w:p w14:paraId="45F6D535" w14:textId="77777777" w:rsidR="0011267F" w:rsidRPr="0011267F" w:rsidRDefault="0011267F" w:rsidP="0011267F">
      <w:pPr>
        <w:widowControl w:val="0"/>
        <w:autoSpaceDE w:val="0"/>
        <w:autoSpaceDN w:val="0"/>
        <w:spacing w:before="62" w:after="0" w:line="240" w:lineRule="auto"/>
        <w:ind w:left="563" w:hanging="390"/>
        <w:jc w:val="both"/>
        <w:outlineLvl w:val="2"/>
        <w:rPr>
          <w:rFonts w:ascii="Calibri Light" w:eastAsia="Arial" w:hAnsi="Calibri Light" w:cs="Arial"/>
          <w:color w:val="365F91"/>
          <w:kern w:val="0"/>
          <w:sz w:val="24"/>
          <w:szCs w:val="26"/>
          <w:lang w:val="fr-FR"/>
          <w14:ligatures w14:val="none"/>
        </w:rPr>
      </w:pPr>
      <w:bookmarkStart w:id="5" w:name="_Toc155179469"/>
      <w:r w:rsidRPr="0011267F">
        <w:rPr>
          <w:rFonts w:ascii="Calibri Light" w:eastAsia="Arial" w:hAnsi="Calibri Light" w:cs="Arial"/>
          <w:color w:val="365F91"/>
          <w:kern w:val="0"/>
          <w:sz w:val="24"/>
          <w:szCs w:val="26"/>
          <w:lang w:val="fr-FR"/>
          <w14:ligatures w14:val="none"/>
        </w:rPr>
        <w:t>Arrangement</w:t>
      </w:r>
      <w:r w:rsidRPr="0011267F">
        <w:rPr>
          <w:rFonts w:ascii="Calibri Light" w:eastAsia="Arial" w:hAnsi="Calibri Light" w:cs="Arial"/>
          <w:color w:val="365F91"/>
          <w:spacing w:val="-3"/>
          <w:kern w:val="0"/>
          <w:sz w:val="24"/>
          <w:szCs w:val="26"/>
          <w:lang w:val="fr-FR"/>
          <w14:ligatures w14:val="none"/>
        </w:rPr>
        <w:t xml:space="preserve"> </w:t>
      </w:r>
      <w:r w:rsidRPr="0011267F">
        <w:rPr>
          <w:rFonts w:ascii="Calibri Light" w:eastAsia="Arial" w:hAnsi="Calibri Light" w:cs="Arial"/>
          <w:color w:val="365F91"/>
          <w:kern w:val="0"/>
          <w:sz w:val="24"/>
          <w:szCs w:val="26"/>
          <w:lang w:val="fr-FR"/>
          <w14:ligatures w14:val="none"/>
        </w:rPr>
        <w:t>de</w:t>
      </w:r>
      <w:r w:rsidRPr="0011267F">
        <w:rPr>
          <w:rFonts w:ascii="Calibri Light" w:eastAsia="Arial" w:hAnsi="Calibri Light" w:cs="Arial"/>
          <w:color w:val="365F91"/>
          <w:spacing w:val="-2"/>
          <w:kern w:val="0"/>
          <w:sz w:val="24"/>
          <w:szCs w:val="26"/>
          <w:lang w:val="fr-FR"/>
          <w14:ligatures w14:val="none"/>
        </w:rPr>
        <w:t xml:space="preserve"> </w:t>
      </w:r>
      <w:r w:rsidRPr="0011267F">
        <w:rPr>
          <w:rFonts w:ascii="Calibri Light" w:eastAsia="Arial" w:hAnsi="Calibri Light" w:cs="Arial"/>
          <w:color w:val="365F91"/>
          <w:kern w:val="0"/>
          <w:sz w:val="24"/>
          <w:szCs w:val="26"/>
          <w:lang w:val="fr-FR"/>
          <w14:ligatures w14:val="none"/>
        </w:rPr>
        <w:t>gestion</w:t>
      </w:r>
      <w:bookmarkEnd w:id="5"/>
    </w:p>
    <w:p w14:paraId="295E2427" w14:textId="77777777" w:rsidR="0011267F" w:rsidRDefault="0011267F" w:rsidP="0011267F">
      <w:pPr>
        <w:widowControl w:val="0"/>
        <w:autoSpaceDE w:val="0"/>
        <w:autoSpaceDN w:val="0"/>
        <w:spacing w:before="1" w:after="0" w:line="276" w:lineRule="auto"/>
        <w:ind w:left="120" w:right="120"/>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 xml:space="preserve">Le comité est un sous-comité du groupe exécutif (GE) et sert de plateforme principale pour identifier, </w:t>
      </w:r>
      <w:r w:rsidRPr="0011267F">
        <w:rPr>
          <w:rFonts w:ascii="Calibri" w:eastAsia="Calibri" w:hAnsi="Calibri" w:cs="Calibri"/>
          <w:kern w:val="0"/>
          <w:lang w:val="fr-FR"/>
          <w14:ligatures w14:val="none"/>
        </w:rPr>
        <w:lastRenderedPageBreak/>
        <w:t>évaluer, développer le traitement et surveiller les risques au niveau de l'entreprise. Le comité rend compte au GE sur une base semestrielle</w:t>
      </w:r>
      <w:r w:rsidRPr="0011267F">
        <w:rPr>
          <w:rFonts w:ascii="Times New Roman" w:eastAsia="Arial" w:hAnsi="Times New Roman" w:cs="Times New Roman"/>
          <w:kern w:val="0"/>
          <w:lang w:val="fr-FR"/>
          <w14:ligatures w14:val="none"/>
        </w:rPr>
        <w:t>.</w:t>
      </w:r>
    </w:p>
    <w:p w14:paraId="4727738A" w14:textId="77777777" w:rsidR="0011267F" w:rsidRDefault="0011267F" w:rsidP="0011267F">
      <w:pPr>
        <w:widowControl w:val="0"/>
        <w:autoSpaceDE w:val="0"/>
        <w:autoSpaceDN w:val="0"/>
        <w:spacing w:before="1" w:after="0" w:line="276" w:lineRule="auto"/>
        <w:ind w:left="120" w:right="120"/>
        <w:jc w:val="both"/>
        <w:rPr>
          <w:rFonts w:ascii="Times New Roman" w:eastAsia="Arial" w:hAnsi="Times New Roman" w:cs="Times New Roman"/>
          <w:kern w:val="0"/>
          <w:lang w:val="fr-FR"/>
          <w14:ligatures w14:val="none"/>
        </w:rPr>
      </w:pPr>
    </w:p>
    <w:p w14:paraId="1B9DB41A" w14:textId="77777777" w:rsidR="0011267F" w:rsidRPr="0011267F" w:rsidRDefault="0011267F" w:rsidP="0011267F">
      <w:pPr>
        <w:widowControl w:val="0"/>
        <w:numPr>
          <w:ilvl w:val="0"/>
          <w:numId w:val="1"/>
        </w:numPr>
        <w:autoSpaceDE w:val="0"/>
        <w:autoSpaceDN w:val="0"/>
        <w:adjustRightInd w:val="0"/>
        <w:spacing w:after="120" w:line="276" w:lineRule="auto"/>
        <w:ind w:left="720"/>
        <w:jc w:val="both"/>
        <w:rPr>
          <w:rFonts w:ascii="Calibri" w:eastAsia="Times New Roman" w:hAnsi="Calibri" w:cs="Times New Roman"/>
          <w:b/>
          <w:bCs/>
          <w:i/>
          <w:iCs/>
          <w:kern w:val="0"/>
          <w14:ligatures w14:val="none"/>
        </w:rPr>
      </w:pPr>
      <w:r w:rsidRPr="0011267F">
        <w:rPr>
          <w:rFonts w:ascii="Calibri" w:eastAsia="Times New Roman" w:hAnsi="Calibri" w:cs="Times New Roman"/>
          <w:b/>
          <w:bCs/>
          <w:i/>
          <w:iCs/>
          <w:kern w:val="0"/>
          <w14:ligatures w14:val="none"/>
        </w:rPr>
        <w:t xml:space="preserve">Composition du </w:t>
      </w:r>
      <w:proofErr w:type="spellStart"/>
      <w:r w:rsidRPr="0011267F">
        <w:rPr>
          <w:rFonts w:ascii="Calibri" w:eastAsia="Times New Roman" w:hAnsi="Calibri" w:cs="Times New Roman"/>
          <w:b/>
          <w:bCs/>
          <w:i/>
          <w:iCs/>
          <w:kern w:val="0"/>
          <w14:ligatures w14:val="none"/>
        </w:rPr>
        <w:t>comité</w:t>
      </w:r>
      <w:proofErr w:type="spellEnd"/>
    </w:p>
    <w:p w14:paraId="0C130B50" w14:textId="77777777" w:rsidR="0011267F" w:rsidRPr="0011267F" w:rsidRDefault="0011267F" w:rsidP="0011267F">
      <w:pPr>
        <w:widowControl w:val="0"/>
        <w:autoSpaceDE w:val="0"/>
        <w:autoSpaceDN w:val="0"/>
        <w:spacing w:before="161" w:after="0" w:line="276" w:lineRule="auto"/>
        <w:ind w:left="119" w:right="116"/>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La composition du comité des risques doit inclure une représentation adéquate du point de vue de l'organisation dans les cinq catégories de conséquences des risques (c'est-à-dire les finances et les ressources, la sûreté et la sécurité, l'exécution des programmes, l'efficacité institutionnelle et la réputation). À cet égard, la composition permanente du comité est la suivante :</w:t>
      </w:r>
    </w:p>
    <w:p w14:paraId="51A5A293" w14:textId="77777777" w:rsidR="0011267F" w:rsidRPr="0011267F" w:rsidRDefault="0011267F" w:rsidP="0011267F">
      <w:pPr>
        <w:widowControl w:val="0"/>
        <w:numPr>
          <w:ilvl w:val="1"/>
          <w:numId w:val="1"/>
        </w:numPr>
        <w:tabs>
          <w:tab w:val="left" w:pos="839"/>
          <w:tab w:val="left" w:pos="840"/>
        </w:tabs>
        <w:autoSpaceDE w:val="0"/>
        <w:autoSpaceDN w:val="0"/>
        <w:spacing w:before="119"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L'administrateur associé en tant que président ;</w:t>
      </w:r>
    </w:p>
    <w:p w14:paraId="5A5AC92D"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Bureau exécutif ;</w:t>
      </w:r>
    </w:p>
    <w:p w14:paraId="67E4B323" w14:textId="77777777" w:rsidR="0011267F" w:rsidRPr="0011267F" w:rsidRDefault="0011267F" w:rsidP="0011267F">
      <w:pPr>
        <w:widowControl w:val="0"/>
        <w:numPr>
          <w:ilvl w:val="1"/>
          <w:numId w:val="1"/>
        </w:numPr>
        <w:tabs>
          <w:tab w:val="left" w:pos="839"/>
          <w:tab w:val="left" w:pos="840"/>
        </w:tabs>
        <w:autoSpaceDE w:val="0"/>
        <w:autoSpaceDN w:val="0"/>
        <w:spacing w:before="1"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Directeurs de tous les bureaux régionaux</w:t>
      </w:r>
    </w:p>
    <w:p w14:paraId="4BB94637"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du Bureau des services de gestion ;</w:t>
      </w:r>
    </w:p>
    <w:p w14:paraId="1DC79987" w14:textId="77777777" w:rsidR="0011267F" w:rsidRPr="0011267F" w:rsidRDefault="0011267F" w:rsidP="0011267F">
      <w:pPr>
        <w:widowControl w:val="0"/>
        <w:numPr>
          <w:ilvl w:val="1"/>
          <w:numId w:val="1"/>
        </w:numPr>
        <w:tabs>
          <w:tab w:val="left" w:pos="839"/>
          <w:tab w:val="left" w:pos="840"/>
        </w:tabs>
        <w:autoSpaceDE w:val="0"/>
        <w:autoSpaceDN w:val="0"/>
        <w:spacing w:before="1" w:after="0" w:line="240" w:lineRule="auto"/>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du BERA</w:t>
      </w:r>
    </w:p>
    <w:p w14:paraId="0D5998F4"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du BPPS</w:t>
      </w:r>
    </w:p>
    <w:p w14:paraId="414D7200"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du CRU ;</w:t>
      </w:r>
    </w:p>
    <w:p w14:paraId="531B4E07" w14:textId="77777777" w:rsidR="0011267F" w:rsidRPr="0011267F" w:rsidRDefault="0011267F" w:rsidP="0011267F">
      <w:pPr>
        <w:widowControl w:val="0"/>
        <w:numPr>
          <w:ilvl w:val="1"/>
          <w:numId w:val="1"/>
        </w:numPr>
        <w:tabs>
          <w:tab w:val="left" w:pos="839"/>
          <w:tab w:val="left" w:pos="840"/>
        </w:tabs>
        <w:autoSpaceDE w:val="0"/>
        <w:autoSpaceDN w:val="0"/>
        <w:spacing w:before="1"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général des finances ;</w:t>
      </w:r>
    </w:p>
    <w:p w14:paraId="598D4F30"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 du bureau de la sécurité ;</w:t>
      </w:r>
    </w:p>
    <w:p w14:paraId="1D23CCD1" w14:textId="77777777" w:rsidR="0011267F" w:rsidRPr="0011267F" w:rsidRDefault="0011267F" w:rsidP="0011267F">
      <w:pPr>
        <w:widowControl w:val="0"/>
        <w:autoSpaceDE w:val="0"/>
        <w:autoSpaceDN w:val="0"/>
        <w:spacing w:before="2" w:after="0" w:line="240" w:lineRule="auto"/>
        <w:rPr>
          <w:rFonts w:ascii="Calibri" w:eastAsia="Calibri" w:hAnsi="Calibri" w:cs="Calibri"/>
          <w:kern w:val="0"/>
          <w:lang w:val="fr-FR"/>
          <w14:ligatures w14:val="none"/>
        </w:rPr>
      </w:pPr>
    </w:p>
    <w:p w14:paraId="01752261" w14:textId="77777777" w:rsidR="0011267F" w:rsidRPr="0011267F" w:rsidRDefault="0011267F" w:rsidP="0011267F">
      <w:pPr>
        <w:widowControl w:val="0"/>
        <w:autoSpaceDE w:val="0"/>
        <w:autoSpaceDN w:val="0"/>
        <w:spacing w:after="0" w:line="276" w:lineRule="auto"/>
        <w:ind w:left="119" w:right="118"/>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Les membres du comité ne sont pas substituables. Si un membre du comité n'est pas disponible pour assister à une réunion du comité des risques, sa participation ne peut être déléguée à d'autres membres du personnel. Sur une base ad hoc, le Comité peut inviter d'autres membres du personnel à participer à la réunion du Comité des risques pour délibérer sur des questions spécifiques. Cela peut inclure :</w:t>
      </w:r>
    </w:p>
    <w:p w14:paraId="05B49C6A" w14:textId="77777777" w:rsidR="0011267F" w:rsidRPr="0011267F" w:rsidRDefault="0011267F" w:rsidP="0011267F">
      <w:pPr>
        <w:widowControl w:val="0"/>
        <w:numPr>
          <w:ilvl w:val="1"/>
          <w:numId w:val="1"/>
        </w:numPr>
        <w:tabs>
          <w:tab w:val="left" w:pos="839"/>
          <w:tab w:val="left" w:pos="840"/>
        </w:tabs>
        <w:autoSpaceDE w:val="0"/>
        <w:autoSpaceDN w:val="0"/>
        <w:spacing w:before="119"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Propriétaire de risque pour des entrées de risque spécifiques à l'entreprise ;</w:t>
      </w:r>
    </w:p>
    <w:p w14:paraId="7CE13252" w14:textId="77777777" w:rsidR="0011267F" w:rsidRPr="0011267F" w:rsidRDefault="0011267F" w:rsidP="0011267F">
      <w:pPr>
        <w:widowControl w:val="0"/>
        <w:numPr>
          <w:ilvl w:val="1"/>
          <w:numId w:val="1"/>
        </w:numPr>
        <w:tabs>
          <w:tab w:val="left" w:pos="839"/>
          <w:tab w:val="left" w:pos="840"/>
        </w:tabs>
        <w:autoSpaceDE w:val="0"/>
        <w:autoSpaceDN w:val="0"/>
        <w:spacing w:after="0" w:line="280" w:lineRule="exact"/>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Responsable hiérarchique d'un bureau/unité spécifique ;</w:t>
      </w:r>
    </w:p>
    <w:p w14:paraId="665478BE" w14:textId="77777777" w:rsidR="0011267F" w:rsidRPr="0011267F" w:rsidRDefault="0011267F" w:rsidP="0011267F">
      <w:pPr>
        <w:widowControl w:val="0"/>
        <w:numPr>
          <w:ilvl w:val="1"/>
          <w:numId w:val="1"/>
        </w:numPr>
        <w:tabs>
          <w:tab w:val="left" w:pos="839"/>
          <w:tab w:val="left" w:pos="840"/>
        </w:tabs>
        <w:autoSpaceDE w:val="0"/>
        <w:autoSpaceDN w:val="0"/>
        <w:spacing w:before="1" w:after="0" w:line="240" w:lineRule="auto"/>
        <w:ind w:hanging="361"/>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Les gestionnaires de fonds verticaux ;</w:t>
      </w:r>
    </w:p>
    <w:p w14:paraId="51A902D7" w14:textId="77777777" w:rsidR="0011267F" w:rsidRPr="0011267F" w:rsidRDefault="0011267F" w:rsidP="0011267F">
      <w:pPr>
        <w:widowControl w:val="0"/>
        <w:numPr>
          <w:ilvl w:val="1"/>
          <w:numId w:val="1"/>
        </w:numPr>
        <w:tabs>
          <w:tab w:val="left" w:pos="838"/>
          <w:tab w:val="left" w:pos="839"/>
        </w:tabs>
        <w:autoSpaceDE w:val="0"/>
        <w:autoSpaceDN w:val="0"/>
        <w:spacing w:before="1" w:after="0" w:line="280" w:lineRule="exact"/>
        <w:ind w:left="838"/>
        <w:rPr>
          <w:rFonts w:ascii="Calibri" w:eastAsia="Calibri" w:hAnsi="Calibri" w:cs="Calibri"/>
          <w:kern w:val="0"/>
          <w:lang w:val="fr-FR"/>
          <w14:ligatures w14:val="none"/>
        </w:rPr>
      </w:pPr>
      <w:r w:rsidRPr="0011267F">
        <w:rPr>
          <w:rFonts w:ascii="Calibri" w:eastAsia="Calibri" w:hAnsi="Calibri" w:cs="Calibri"/>
          <w:kern w:val="0"/>
          <w:lang w:val="fr-FR"/>
          <w14:ligatures w14:val="none"/>
        </w:rPr>
        <w:t>Directeurs adjoints du Bureau ;</w:t>
      </w:r>
    </w:p>
    <w:p w14:paraId="5BDEC892" w14:textId="77777777" w:rsidR="0011267F" w:rsidRPr="0011267F" w:rsidRDefault="0011267F" w:rsidP="0011267F">
      <w:pPr>
        <w:widowControl w:val="0"/>
        <w:numPr>
          <w:ilvl w:val="1"/>
          <w:numId w:val="1"/>
        </w:numPr>
        <w:tabs>
          <w:tab w:val="left" w:pos="838"/>
          <w:tab w:val="left" w:pos="839"/>
        </w:tabs>
        <w:autoSpaceDE w:val="0"/>
        <w:autoSpaceDN w:val="0"/>
        <w:spacing w:after="0" w:line="280" w:lineRule="exact"/>
        <w:ind w:left="838"/>
        <w:rPr>
          <w:rFonts w:ascii="Calibri" w:eastAsia="Calibri" w:hAnsi="Calibri" w:cs="Calibri"/>
          <w:kern w:val="0"/>
          <w:lang w:val="fr-FR"/>
          <w14:ligatures w14:val="none"/>
        </w:rPr>
      </w:pPr>
      <w:r w:rsidRPr="0011267F">
        <w:rPr>
          <w:rFonts w:ascii="Calibri" w:eastAsia="Calibri" w:hAnsi="Calibri" w:cs="Calibri"/>
          <w:kern w:val="0"/>
          <w:lang w:val="fr-FR"/>
          <w14:ligatures w14:val="none"/>
        </w:rPr>
        <w:t>Experts ou personnes ressources sur des questions particulières ;</w:t>
      </w:r>
    </w:p>
    <w:p w14:paraId="0CC17A69" w14:textId="77777777" w:rsidR="0011267F" w:rsidRPr="0011267F" w:rsidRDefault="0011267F" w:rsidP="0011267F">
      <w:pPr>
        <w:widowControl w:val="0"/>
        <w:numPr>
          <w:ilvl w:val="1"/>
          <w:numId w:val="1"/>
        </w:numPr>
        <w:tabs>
          <w:tab w:val="left" w:pos="838"/>
          <w:tab w:val="left" w:pos="839"/>
        </w:tabs>
        <w:autoSpaceDE w:val="0"/>
        <w:autoSpaceDN w:val="0"/>
        <w:spacing w:after="0" w:line="240" w:lineRule="auto"/>
        <w:ind w:left="838"/>
        <w:rPr>
          <w:rFonts w:ascii="Calibri" w:eastAsia="Calibri" w:hAnsi="Calibri" w:cs="Calibri"/>
          <w:kern w:val="0"/>
          <w:lang w:val="fr-FR"/>
          <w14:ligatures w14:val="none"/>
        </w:rPr>
      </w:pPr>
      <w:r w:rsidRPr="0011267F">
        <w:rPr>
          <w:rFonts w:ascii="Calibri" w:eastAsia="Calibri" w:hAnsi="Calibri" w:cs="Calibri"/>
          <w:kern w:val="0"/>
          <w:lang w:val="fr-FR"/>
          <w14:ligatures w14:val="none"/>
        </w:rPr>
        <w:t>D'autres membres du personnel, selon les besoins.</w:t>
      </w:r>
    </w:p>
    <w:p w14:paraId="7581BACD" w14:textId="77777777" w:rsidR="0011267F" w:rsidRPr="0011267F" w:rsidRDefault="0011267F" w:rsidP="0011267F">
      <w:pPr>
        <w:widowControl w:val="0"/>
        <w:autoSpaceDE w:val="0"/>
        <w:autoSpaceDN w:val="0"/>
        <w:spacing w:before="9" w:after="0" w:line="240" w:lineRule="auto"/>
        <w:rPr>
          <w:rFonts w:ascii="Times New Roman" w:eastAsia="Arial" w:hAnsi="Times New Roman" w:cs="Times New Roman"/>
          <w:b/>
          <w:bCs/>
          <w:kern w:val="0"/>
          <w:sz w:val="31"/>
          <w:szCs w:val="24"/>
          <w:lang w:val="fr-FR"/>
          <w14:ligatures w14:val="none"/>
        </w:rPr>
      </w:pPr>
    </w:p>
    <w:p w14:paraId="0CE82E35" w14:textId="77777777" w:rsidR="0011267F" w:rsidRPr="0011267F" w:rsidRDefault="0011267F" w:rsidP="0011267F">
      <w:pPr>
        <w:widowControl w:val="0"/>
        <w:numPr>
          <w:ilvl w:val="0"/>
          <w:numId w:val="1"/>
        </w:numPr>
        <w:autoSpaceDE w:val="0"/>
        <w:autoSpaceDN w:val="0"/>
        <w:adjustRightInd w:val="0"/>
        <w:spacing w:after="120" w:line="276" w:lineRule="auto"/>
        <w:ind w:left="720"/>
        <w:jc w:val="both"/>
        <w:rPr>
          <w:rFonts w:ascii="Calibri" w:eastAsia="Times New Roman" w:hAnsi="Calibri" w:cs="Calibri"/>
          <w:b/>
          <w:bCs/>
          <w:i/>
          <w:color w:val="000000"/>
          <w:kern w:val="0"/>
          <w14:ligatures w14:val="none"/>
        </w:rPr>
      </w:pPr>
      <w:r w:rsidRPr="0011267F">
        <w:rPr>
          <w:rFonts w:ascii="Calibri" w:eastAsia="Times New Roman" w:hAnsi="Calibri" w:cs="Times New Roman"/>
          <w:b/>
          <w:bCs/>
          <w:i/>
          <w:iCs/>
          <w:kern w:val="0"/>
          <w14:ligatures w14:val="none"/>
        </w:rPr>
        <w:t xml:space="preserve">Relation avec les </w:t>
      </w:r>
      <w:proofErr w:type="spellStart"/>
      <w:r w:rsidRPr="0011267F">
        <w:rPr>
          <w:rFonts w:ascii="Calibri" w:eastAsia="Times New Roman" w:hAnsi="Calibri" w:cs="Times New Roman"/>
          <w:b/>
          <w:bCs/>
          <w:i/>
          <w:iCs/>
          <w:kern w:val="0"/>
          <w14:ligatures w14:val="none"/>
        </w:rPr>
        <w:t>autres</w:t>
      </w:r>
      <w:proofErr w:type="spellEnd"/>
      <w:r w:rsidRPr="0011267F">
        <w:rPr>
          <w:rFonts w:ascii="Calibri" w:eastAsia="Times New Roman" w:hAnsi="Calibri" w:cs="Times New Roman"/>
          <w:b/>
          <w:bCs/>
          <w:i/>
          <w:iCs/>
          <w:kern w:val="0"/>
          <w14:ligatures w14:val="none"/>
        </w:rPr>
        <w:t xml:space="preserve"> structures </w:t>
      </w:r>
      <w:proofErr w:type="spellStart"/>
      <w:r w:rsidRPr="0011267F">
        <w:rPr>
          <w:rFonts w:ascii="Calibri" w:eastAsia="Times New Roman" w:hAnsi="Calibri" w:cs="Times New Roman"/>
          <w:b/>
          <w:bCs/>
          <w:i/>
          <w:iCs/>
          <w:kern w:val="0"/>
          <w14:ligatures w14:val="none"/>
        </w:rPr>
        <w:t>décisionnelles</w:t>
      </w:r>
      <w:proofErr w:type="spellEnd"/>
      <w:r w:rsidRPr="0011267F">
        <w:rPr>
          <w:rFonts w:ascii="Calibri" w:eastAsia="Times New Roman" w:hAnsi="Calibri" w:cs="Times New Roman"/>
          <w:b/>
          <w:bCs/>
          <w:i/>
          <w:iCs/>
          <w:kern w:val="0"/>
          <w14:ligatures w14:val="none"/>
        </w:rPr>
        <w:t xml:space="preserve"> de </w:t>
      </w:r>
      <w:proofErr w:type="spellStart"/>
      <w:r w:rsidRPr="0011267F">
        <w:rPr>
          <w:rFonts w:ascii="Calibri" w:eastAsia="Times New Roman" w:hAnsi="Calibri" w:cs="Times New Roman"/>
          <w:b/>
          <w:bCs/>
          <w:i/>
          <w:iCs/>
          <w:kern w:val="0"/>
          <w14:ligatures w14:val="none"/>
        </w:rPr>
        <w:t>l'entreprise</w:t>
      </w:r>
      <w:proofErr w:type="spellEnd"/>
    </w:p>
    <w:p w14:paraId="424151BD" w14:textId="77777777" w:rsidR="0011267F" w:rsidRPr="0011267F" w:rsidRDefault="0011267F" w:rsidP="0011267F">
      <w:pPr>
        <w:widowControl w:val="0"/>
        <w:autoSpaceDE w:val="0"/>
        <w:autoSpaceDN w:val="0"/>
        <w:spacing w:before="161" w:after="0" w:line="276" w:lineRule="auto"/>
        <w:ind w:left="118" w:right="120"/>
        <w:jc w:val="both"/>
        <w:rPr>
          <w:rFonts w:ascii="Times New Roman" w:eastAsia="Arial" w:hAnsi="Times New Roman" w:cs="Times New Roman"/>
          <w:kern w:val="0"/>
          <w:sz w:val="24"/>
          <w:szCs w:val="24"/>
          <w:lang w:val="fr-FR"/>
          <w14:ligatures w14:val="none"/>
        </w:rPr>
      </w:pPr>
      <w:r w:rsidRPr="0011267F">
        <w:rPr>
          <w:rFonts w:ascii="Calibri" w:eastAsia="Calibri" w:hAnsi="Calibri" w:cs="Calibri"/>
          <w:kern w:val="0"/>
          <w:lang w:val="fr-FR"/>
          <w14:ligatures w14:val="none"/>
        </w:rPr>
        <w:t>Le comité des risques est un sous-comité du groupe exécutif. Il fournit des rapports au GE deux fois par an et/ou selon les besoins. La relation avec les autres structures décisionnelles de l'entreprise peut être décrite comme suit</w:t>
      </w:r>
      <w:r w:rsidRPr="0011267F">
        <w:rPr>
          <w:rFonts w:ascii="Times New Roman" w:eastAsia="Arial" w:hAnsi="Times New Roman" w:cs="Times New Roman"/>
          <w:kern w:val="0"/>
          <w:sz w:val="24"/>
          <w:szCs w:val="24"/>
          <w:lang w:val="fr-FR"/>
          <w14:ligatures w14:val="none"/>
        </w:rPr>
        <w:t xml:space="preserve"> :</w:t>
      </w:r>
    </w:p>
    <w:p w14:paraId="5EE9991F" w14:textId="77777777" w:rsidR="0011267F" w:rsidRPr="0011267F" w:rsidRDefault="0011267F" w:rsidP="0011267F">
      <w:pPr>
        <w:widowControl w:val="0"/>
        <w:autoSpaceDE w:val="0"/>
        <w:autoSpaceDN w:val="0"/>
        <w:spacing w:after="0" w:line="276" w:lineRule="auto"/>
        <w:jc w:val="both"/>
        <w:rPr>
          <w:rFonts w:ascii="Times New Roman" w:eastAsia="Arial" w:hAnsi="Times New Roman" w:cs="Times New Roman"/>
          <w:kern w:val="0"/>
          <w:lang w:val="fr-FR"/>
          <w14:ligatures w14:val="none"/>
        </w:rPr>
        <w:sectPr w:rsidR="0011267F" w:rsidRPr="0011267F">
          <w:pgSz w:w="11910" w:h="16840"/>
          <w:pgMar w:top="1700" w:right="1320" w:bottom="280" w:left="1320" w:header="720" w:footer="720" w:gutter="0"/>
          <w:cols w:space="720"/>
        </w:sectPr>
      </w:pPr>
    </w:p>
    <w:p w14:paraId="42A435D2" w14:textId="77777777" w:rsidR="0011267F" w:rsidRPr="0011267F" w:rsidRDefault="0011267F" w:rsidP="0011267F">
      <w:pPr>
        <w:widowControl w:val="0"/>
        <w:autoSpaceDE w:val="0"/>
        <w:autoSpaceDN w:val="0"/>
        <w:spacing w:after="0" w:line="240" w:lineRule="auto"/>
        <w:ind w:left="938"/>
        <w:rPr>
          <w:rFonts w:ascii="Times New Roman" w:eastAsia="Arial" w:hAnsi="Times New Roman" w:cs="Times New Roman"/>
          <w:kern w:val="0"/>
          <w:sz w:val="20"/>
          <w:szCs w:val="24"/>
          <w:lang w:val="fr-FR"/>
          <w14:ligatures w14:val="none"/>
        </w:rPr>
      </w:pPr>
      <w:r w:rsidRPr="0011267F">
        <w:rPr>
          <w:rFonts w:ascii="Myriad Pro" w:eastAsia="Arial" w:hAnsi="Myriad Pro" w:cs="Arial"/>
          <w:noProof/>
          <w:kern w:val="0"/>
          <w:sz w:val="24"/>
          <w:szCs w:val="24"/>
          <w:lang w:val="fr-FR"/>
          <w14:ligatures w14:val="none"/>
        </w:rPr>
        <w:lastRenderedPageBreak/>
        <w:drawing>
          <wp:inline distT="0" distB="0" distL="0" distR="0" wp14:anchorId="6BB618F5" wp14:editId="43E866BD">
            <wp:extent cx="4019266" cy="3206750"/>
            <wp:effectExtent l="0" t="95250" r="0" b="50800"/>
            <wp:docPr id="619452611" name="Diagram 6194526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B180EC" w14:textId="77777777" w:rsidR="0011267F" w:rsidRPr="0011267F" w:rsidRDefault="0011267F" w:rsidP="0011267F">
      <w:pPr>
        <w:widowControl w:val="0"/>
        <w:autoSpaceDE w:val="0"/>
        <w:autoSpaceDN w:val="0"/>
        <w:spacing w:after="0" w:line="240" w:lineRule="auto"/>
        <w:rPr>
          <w:rFonts w:ascii="Times New Roman" w:eastAsia="Arial" w:hAnsi="Times New Roman" w:cs="Times New Roman"/>
          <w:kern w:val="0"/>
          <w:sz w:val="20"/>
          <w:szCs w:val="24"/>
          <w:lang w:val="fr-FR"/>
          <w14:ligatures w14:val="none"/>
        </w:rPr>
      </w:pPr>
    </w:p>
    <w:p w14:paraId="24ABAA17" w14:textId="77777777" w:rsidR="0011267F" w:rsidRPr="0011267F" w:rsidRDefault="0011267F" w:rsidP="0011267F">
      <w:pPr>
        <w:widowControl w:val="0"/>
        <w:autoSpaceDE w:val="0"/>
        <w:autoSpaceDN w:val="0"/>
        <w:spacing w:before="5" w:after="0" w:line="240" w:lineRule="auto"/>
        <w:rPr>
          <w:rFonts w:ascii="Times New Roman" w:eastAsia="Arial" w:hAnsi="Times New Roman" w:cs="Times New Roman"/>
          <w:kern w:val="0"/>
          <w:sz w:val="17"/>
          <w:szCs w:val="24"/>
          <w:lang w:val="fr-FR"/>
          <w14:ligatures w14:val="none"/>
        </w:rPr>
      </w:pPr>
    </w:p>
    <w:p w14:paraId="68A8EB5A" w14:textId="77777777" w:rsidR="0011267F" w:rsidRPr="0011267F" w:rsidRDefault="0011267F" w:rsidP="0011267F">
      <w:pPr>
        <w:widowControl w:val="0"/>
        <w:autoSpaceDE w:val="0"/>
        <w:autoSpaceDN w:val="0"/>
        <w:spacing w:before="1" w:after="0" w:line="276" w:lineRule="auto"/>
        <w:ind w:left="477" w:right="116"/>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 comité des risques examine, analyse et prend des décisions sur les risques identifiés par les différents mécanismes et sources de données de l'entreprise (par exemple OPG, ET, SMG, Crisis Board, registre des risques). Les décisions relatives au traitement des risques doivent ensuite être recommandées au mécanisme existant pour être mises en œuvre. Le comité des risques suivra l'état d'avancement de la mise en œuvre de ces traitements lors de ses réunions périodiques.</w:t>
      </w:r>
    </w:p>
    <w:p w14:paraId="3359C1F9" w14:textId="77777777" w:rsidR="0011267F" w:rsidRPr="0011267F" w:rsidRDefault="0011267F" w:rsidP="0011267F">
      <w:pPr>
        <w:widowControl w:val="0"/>
        <w:autoSpaceDE w:val="0"/>
        <w:autoSpaceDN w:val="0"/>
        <w:spacing w:before="10" w:after="0" w:line="240" w:lineRule="auto"/>
        <w:rPr>
          <w:rFonts w:ascii="Times New Roman" w:eastAsia="Arial" w:hAnsi="Times New Roman" w:cs="Times New Roman"/>
          <w:kern w:val="0"/>
          <w:sz w:val="24"/>
          <w:szCs w:val="24"/>
          <w:lang w:val="fr-FR"/>
          <w14:ligatures w14:val="none"/>
        </w:rPr>
      </w:pPr>
    </w:p>
    <w:p w14:paraId="157344FA" w14:textId="77777777" w:rsidR="0011267F" w:rsidRPr="0011267F" w:rsidRDefault="0011267F" w:rsidP="0011267F">
      <w:pPr>
        <w:widowControl w:val="0"/>
        <w:numPr>
          <w:ilvl w:val="0"/>
          <w:numId w:val="1"/>
        </w:numPr>
        <w:autoSpaceDE w:val="0"/>
        <w:autoSpaceDN w:val="0"/>
        <w:adjustRightInd w:val="0"/>
        <w:spacing w:after="120" w:line="276" w:lineRule="auto"/>
        <w:ind w:left="720"/>
        <w:jc w:val="both"/>
        <w:rPr>
          <w:rFonts w:ascii="Calibri" w:eastAsia="Times New Roman" w:hAnsi="Calibri" w:cs="Times New Roman"/>
          <w:b/>
          <w:bCs/>
          <w:i/>
          <w:iCs/>
          <w:kern w:val="0"/>
          <w14:ligatures w14:val="none"/>
        </w:rPr>
      </w:pPr>
      <w:proofErr w:type="spellStart"/>
      <w:r w:rsidRPr="0011267F">
        <w:rPr>
          <w:rFonts w:ascii="Calibri" w:eastAsia="Times New Roman" w:hAnsi="Calibri" w:cs="Times New Roman"/>
          <w:b/>
          <w:bCs/>
          <w:i/>
          <w:iCs/>
          <w:kern w:val="0"/>
          <w14:ligatures w14:val="none"/>
        </w:rPr>
        <w:t>Réunions</w:t>
      </w:r>
      <w:proofErr w:type="spellEnd"/>
      <w:r w:rsidRPr="0011267F">
        <w:rPr>
          <w:rFonts w:ascii="Calibri" w:eastAsia="Times New Roman" w:hAnsi="Calibri" w:cs="Times New Roman"/>
          <w:b/>
          <w:bCs/>
          <w:i/>
          <w:iCs/>
          <w:kern w:val="0"/>
          <w14:ligatures w14:val="none"/>
        </w:rPr>
        <w:t xml:space="preserve"> du </w:t>
      </w:r>
      <w:proofErr w:type="spellStart"/>
      <w:r w:rsidRPr="0011267F">
        <w:rPr>
          <w:rFonts w:ascii="Calibri" w:eastAsia="Times New Roman" w:hAnsi="Calibri" w:cs="Times New Roman"/>
          <w:b/>
          <w:bCs/>
          <w:i/>
          <w:iCs/>
          <w:kern w:val="0"/>
          <w14:ligatures w14:val="none"/>
        </w:rPr>
        <w:t>comité</w:t>
      </w:r>
      <w:proofErr w:type="spellEnd"/>
      <w:r w:rsidRPr="0011267F">
        <w:rPr>
          <w:rFonts w:ascii="Calibri" w:eastAsia="Times New Roman" w:hAnsi="Calibri" w:cs="Times New Roman"/>
          <w:b/>
          <w:bCs/>
          <w:i/>
          <w:iCs/>
          <w:kern w:val="0"/>
          <w14:ligatures w14:val="none"/>
        </w:rPr>
        <w:t xml:space="preserve"> des </w:t>
      </w:r>
      <w:proofErr w:type="spellStart"/>
      <w:r w:rsidRPr="0011267F">
        <w:rPr>
          <w:rFonts w:ascii="Calibri" w:eastAsia="Times New Roman" w:hAnsi="Calibri" w:cs="Times New Roman"/>
          <w:b/>
          <w:bCs/>
          <w:i/>
          <w:iCs/>
          <w:kern w:val="0"/>
          <w14:ligatures w14:val="none"/>
        </w:rPr>
        <w:t>risques</w:t>
      </w:r>
      <w:proofErr w:type="spellEnd"/>
    </w:p>
    <w:p w14:paraId="0229E44B" w14:textId="348AE54C" w:rsidR="0011267F" w:rsidRPr="0011267F" w:rsidRDefault="0011267F" w:rsidP="0011267F">
      <w:pPr>
        <w:widowControl w:val="0"/>
        <w:autoSpaceDE w:val="0"/>
        <w:autoSpaceDN w:val="0"/>
        <w:spacing w:before="41" w:after="0" w:line="276" w:lineRule="auto"/>
        <w:ind w:left="480" w:right="116"/>
        <w:jc w:val="both"/>
        <w:rPr>
          <w:rFonts w:ascii="Times New Roman" w:eastAsia="Arial" w:hAnsi="Times New Roman" w:cs="Times New Roman"/>
          <w:kern w:val="0"/>
          <w:lang w:val="fr-FR"/>
          <w14:ligatures w14:val="none"/>
        </w:rPr>
      </w:pPr>
      <w:r w:rsidRPr="0011267F">
        <w:rPr>
          <w:rFonts w:ascii="Calibri" w:eastAsia="Calibri" w:hAnsi="Calibri" w:cs="Calibri"/>
          <w:kern w:val="0"/>
          <w:lang w:val="fr-FR"/>
          <w14:ligatures w14:val="none"/>
        </w:rPr>
        <w:t>Le Comité des risques se réunit deux fois par an, de préférence pendant la semaine où la réunion du GE est prévue, mais avant la réunion du GE. Sur une base ad hoc, le président du comité des risques peut également convoquer une réunion du comité pour délibérer immédiatement de toute question urgente liée aux risques. L'ordre du jour permanent de la réunion du Comité est le suivant</w:t>
      </w:r>
      <w:r w:rsidRPr="0011267F">
        <w:rPr>
          <w:rFonts w:ascii="Times New Roman" w:eastAsia="Arial" w:hAnsi="Times New Roman" w:cs="Times New Roman"/>
          <w:kern w:val="0"/>
          <w:lang w:val="fr-FR"/>
          <w14:ligatures w14:val="none"/>
        </w:rPr>
        <w:t>:</w:t>
      </w:r>
    </w:p>
    <w:p w14:paraId="1C27D0F0" w14:textId="77777777" w:rsidR="0011267F" w:rsidRPr="0011267F" w:rsidRDefault="0011267F" w:rsidP="0011267F">
      <w:pPr>
        <w:widowControl w:val="0"/>
        <w:numPr>
          <w:ilvl w:val="1"/>
          <w:numId w:val="1"/>
        </w:numPr>
        <w:tabs>
          <w:tab w:val="left" w:pos="1200"/>
        </w:tabs>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Examiner l'efficacité de la mise en œuvre de la GRE (y compris les politiques, les procédures, l'apprentissage et les autres outils) ;</w:t>
      </w:r>
    </w:p>
    <w:p w14:paraId="3E8749CD" w14:textId="77777777" w:rsidR="0011267F" w:rsidRPr="0011267F" w:rsidRDefault="0011267F" w:rsidP="0011267F">
      <w:pPr>
        <w:widowControl w:val="0"/>
        <w:numPr>
          <w:ilvl w:val="1"/>
          <w:numId w:val="1"/>
        </w:numPr>
        <w:tabs>
          <w:tab w:val="left" w:pos="1198"/>
        </w:tabs>
        <w:autoSpaceDE w:val="0"/>
        <w:autoSpaceDN w:val="0"/>
        <w:spacing w:after="0" w:line="240" w:lineRule="auto"/>
        <w:ind w:left="1197" w:hanging="36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Examen des décisions et des mécanismes de l'équipe de direction ;</w:t>
      </w:r>
    </w:p>
    <w:p w14:paraId="67271A4F" w14:textId="77777777" w:rsidR="0011267F" w:rsidRPr="0011267F" w:rsidRDefault="0011267F" w:rsidP="0011267F">
      <w:pPr>
        <w:widowControl w:val="0"/>
        <w:numPr>
          <w:ilvl w:val="1"/>
          <w:numId w:val="1"/>
        </w:numPr>
        <w:tabs>
          <w:tab w:val="left" w:pos="1198"/>
        </w:tabs>
        <w:autoSpaceDE w:val="0"/>
        <w:autoSpaceDN w:val="0"/>
        <w:spacing w:before="39" w:after="0" w:line="276" w:lineRule="auto"/>
        <w:ind w:left="1197" w:right="119"/>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Examiner et gérer les risques de l'entreprise, y compris l'analyse des tendances et des risques émergents ayant un impact sur l'organisation (y compris l'examen du registre des risques et des KRI de l'entreprise) ;</w:t>
      </w:r>
    </w:p>
    <w:p w14:paraId="6229248F" w14:textId="77777777" w:rsidR="0011267F" w:rsidRPr="0011267F" w:rsidRDefault="0011267F" w:rsidP="0011267F">
      <w:pPr>
        <w:widowControl w:val="0"/>
        <w:numPr>
          <w:ilvl w:val="1"/>
          <w:numId w:val="1"/>
        </w:numPr>
        <w:tabs>
          <w:tab w:val="left" w:pos="1198"/>
        </w:tabs>
        <w:autoSpaceDE w:val="0"/>
        <w:autoSpaceDN w:val="0"/>
        <w:spacing w:after="0" w:line="240" w:lineRule="auto"/>
        <w:ind w:left="1197" w:hanging="36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Examen des risques des pays en crise de niveau 3 - dirigé par les bureaux régionaux</w:t>
      </w:r>
    </w:p>
    <w:p w14:paraId="5F6C7650" w14:textId="77777777" w:rsidR="0011267F" w:rsidRDefault="0011267F" w:rsidP="0011267F">
      <w:pPr>
        <w:widowControl w:val="0"/>
        <w:numPr>
          <w:ilvl w:val="1"/>
          <w:numId w:val="1"/>
        </w:numPr>
        <w:tabs>
          <w:tab w:val="left" w:pos="1197"/>
        </w:tabs>
        <w:autoSpaceDE w:val="0"/>
        <w:autoSpaceDN w:val="0"/>
        <w:spacing w:before="40" w:after="0" w:line="240" w:lineRule="auto"/>
        <w:ind w:left="1197"/>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Autres affaires</w:t>
      </w:r>
    </w:p>
    <w:p w14:paraId="7A593B12" w14:textId="77777777" w:rsidR="0011267F" w:rsidRDefault="0011267F" w:rsidP="0011267F">
      <w:pPr>
        <w:widowControl w:val="0"/>
        <w:tabs>
          <w:tab w:val="left" w:pos="1197"/>
        </w:tabs>
        <w:autoSpaceDE w:val="0"/>
        <w:autoSpaceDN w:val="0"/>
        <w:spacing w:before="40" w:after="0" w:line="240" w:lineRule="auto"/>
        <w:jc w:val="both"/>
        <w:rPr>
          <w:rFonts w:ascii="Calibri" w:eastAsia="Calibri" w:hAnsi="Calibri" w:cs="Calibri"/>
          <w:kern w:val="0"/>
          <w:lang w:val="fr-FR"/>
          <w14:ligatures w14:val="none"/>
        </w:rPr>
      </w:pPr>
    </w:p>
    <w:p w14:paraId="200680E0" w14:textId="77777777" w:rsidR="0011267F" w:rsidRPr="0011267F" w:rsidRDefault="0011267F" w:rsidP="0011267F">
      <w:pPr>
        <w:widowControl w:val="0"/>
        <w:tabs>
          <w:tab w:val="left" w:pos="1197"/>
        </w:tabs>
        <w:autoSpaceDE w:val="0"/>
        <w:autoSpaceDN w:val="0"/>
        <w:spacing w:before="40" w:after="0" w:line="240" w:lineRule="auto"/>
        <w:jc w:val="both"/>
        <w:rPr>
          <w:rFonts w:ascii="Calibri" w:eastAsia="Calibri" w:hAnsi="Calibri" w:cs="Calibri"/>
          <w:kern w:val="0"/>
          <w:lang w:val="fr-FR"/>
          <w14:ligatures w14:val="none"/>
        </w:rPr>
      </w:pPr>
    </w:p>
    <w:p w14:paraId="5F03B846" w14:textId="77777777" w:rsidR="0011267F" w:rsidRDefault="0011267F" w:rsidP="0011267F">
      <w:pPr>
        <w:widowControl w:val="0"/>
        <w:autoSpaceDE w:val="0"/>
        <w:autoSpaceDN w:val="0"/>
        <w:spacing w:before="9" w:after="0" w:line="240" w:lineRule="auto"/>
        <w:rPr>
          <w:rFonts w:ascii="Times New Roman" w:eastAsia="Arial" w:hAnsi="Times New Roman" w:cs="Times New Roman"/>
          <w:kern w:val="0"/>
          <w:sz w:val="28"/>
          <w:szCs w:val="24"/>
          <w:lang w:val="fr-FR"/>
          <w14:ligatures w14:val="none"/>
        </w:rPr>
      </w:pPr>
    </w:p>
    <w:p w14:paraId="2FDD28B2" w14:textId="77777777" w:rsidR="0011267F" w:rsidRDefault="0011267F" w:rsidP="0011267F">
      <w:pPr>
        <w:widowControl w:val="0"/>
        <w:autoSpaceDE w:val="0"/>
        <w:autoSpaceDN w:val="0"/>
        <w:spacing w:before="9" w:after="0" w:line="240" w:lineRule="auto"/>
        <w:rPr>
          <w:rFonts w:ascii="Times New Roman" w:eastAsia="Arial" w:hAnsi="Times New Roman" w:cs="Times New Roman"/>
          <w:kern w:val="0"/>
          <w:sz w:val="28"/>
          <w:szCs w:val="24"/>
          <w:lang w:val="fr-FR"/>
          <w14:ligatures w14:val="none"/>
        </w:rPr>
      </w:pPr>
    </w:p>
    <w:p w14:paraId="2CC12DC6" w14:textId="77777777" w:rsidR="0011267F" w:rsidRPr="0011267F" w:rsidRDefault="0011267F" w:rsidP="0011267F">
      <w:pPr>
        <w:widowControl w:val="0"/>
        <w:numPr>
          <w:ilvl w:val="0"/>
          <w:numId w:val="1"/>
        </w:numPr>
        <w:autoSpaceDE w:val="0"/>
        <w:autoSpaceDN w:val="0"/>
        <w:adjustRightInd w:val="0"/>
        <w:spacing w:after="120" w:line="276" w:lineRule="auto"/>
        <w:ind w:left="720"/>
        <w:jc w:val="both"/>
        <w:rPr>
          <w:rFonts w:ascii="Calibri" w:eastAsia="Times New Roman" w:hAnsi="Calibri" w:cs="Times New Roman"/>
          <w:b/>
          <w:bCs/>
          <w:i/>
          <w:iCs/>
          <w:kern w:val="0"/>
          <w14:ligatures w14:val="none"/>
        </w:rPr>
      </w:pPr>
      <w:proofErr w:type="spellStart"/>
      <w:r w:rsidRPr="0011267F">
        <w:rPr>
          <w:rFonts w:ascii="Calibri" w:eastAsia="Times New Roman" w:hAnsi="Calibri" w:cs="Times New Roman"/>
          <w:b/>
          <w:bCs/>
          <w:i/>
          <w:iCs/>
          <w:kern w:val="0"/>
          <w14:ligatures w14:val="none"/>
        </w:rPr>
        <w:t>Secrétariat</w:t>
      </w:r>
      <w:proofErr w:type="spellEnd"/>
      <w:r w:rsidRPr="0011267F">
        <w:rPr>
          <w:rFonts w:ascii="Calibri" w:eastAsia="Times New Roman" w:hAnsi="Calibri" w:cs="Times New Roman"/>
          <w:b/>
          <w:bCs/>
          <w:i/>
          <w:iCs/>
          <w:kern w:val="0"/>
          <w14:ligatures w14:val="none"/>
        </w:rPr>
        <w:t xml:space="preserve"> du </w:t>
      </w:r>
      <w:proofErr w:type="spellStart"/>
      <w:r w:rsidRPr="0011267F">
        <w:rPr>
          <w:rFonts w:ascii="Calibri" w:eastAsia="Times New Roman" w:hAnsi="Calibri" w:cs="Times New Roman"/>
          <w:b/>
          <w:bCs/>
          <w:i/>
          <w:iCs/>
          <w:kern w:val="0"/>
          <w14:ligatures w14:val="none"/>
        </w:rPr>
        <w:t>comité</w:t>
      </w:r>
      <w:proofErr w:type="spellEnd"/>
      <w:r w:rsidRPr="0011267F">
        <w:rPr>
          <w:rFonts w:ascii="Calibri" w:eastAsia="Times New Roman" w:hAnsi="Calibri" w:cs="Times New Roman"/>
          <w:b/>
          <w:bCs/>
          <w:i/>
          <w:iCs/>
          <w:kern w:val="0"/>
          <w14:ligatures w14:val="none"/>
        </w:rPr>
        <w:t xml:space="preserve"> des </w:t>
      </w:r>
      <w:proofErr w:type="spellStart"/>
      <w:r w:rsidRPr="0011267F">
        <w:rPr>
          <w:rFonts w:ascii="Calibri" w:eastAsia="Times New Roman" w:hAnsi="Calibri" w:cs="Times New Roman"/>
          <w:b/>
          <w:bCs/>
          <w:i/>
          <w:iCs/>
          <w:kern w:val="0"/>
          <w14:ligatures w14:val="none"/>
        </w:rPr>
        <w:t>risques</w:t>
      </w:r>
      <w:proofErr w:type="spellEnd"/>
    </w:p>
    <w:p w14:paraId="0A05BE54" w14:textId="77777777" w:rsidR="0011267F" w:rsidRPr="0011267F" w:rsidRDefault="0011267F" w:rsidP="0011267F">
      <w:pPr>
        <w:widowControl w:val="0"/>
        <w:numPr>
          <w:ilvl w:val="1"/>
          <w:numId w:val="1"/>
        </w:numPr>
        <w:tabs>
          <w:tab w:val="left" w:pos="1200"/>
        </w:tabs>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Le comité des risques est soutenu par un secrétariat (spécialistes de la gestion des risques) qui aide le président et les membres du comité à gérer efficacement les réunions du comité. Cela comprend :</w:t>
      </w:r>
    </w:p>
    <w:p w14:paraId="1963553D" w14:textId="77777777" w:rsidR="0011267F" w:rsidRPr="0011267F" w:rsidRDefault="0011267F" w:rsidP="0011267F">
      <w:pPr>
        <w:widowControl w:val="0"/>
        <w:numPr>
          <w:ilvl w:val="1"/>
          <w:numId w:val="1"/>
        </w:numPr>
        <w:tabs>
          <w:tab w:val="left" w:pos="1197"/>
        </w:tabs>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Préparer l'ordre du jour et les documents de référence pour les réunions du comité ;</w:t>
      </w:r>
    </w:p>
    <w:p w14:paraId="12C9CBE5" w14:textId="77777777" w:rsidR="0011267F" w:rsidRPr="0011267F" w:rsidRDefault="0011267F" w:rsidP="0011267F">
      <w:pPr>
        <w:widowControl w:val="0"/>
        <w:numPr>
          <w:ilvl w:val="1"/>
          <w:numId w:val="1"/>
        </w:numPr>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Effectuer l'analyse des journaux de risques agrégés ;</w:t>
      </w:r>
    </w:p>
    <w:p w14:paraId="629FD5A6" w14:textId="77777777" w:rsidR="0011267F" w:rsidRPr="0011267F" w:rsidRDefault="0011267F" w:rsidP="0011267F">
      <w:pPr>
        <w:widowControl w:val="0"/>
        <w:numPr>
          <w:ilvl w:val="1"/>
          <w:numId w:val="1"/>
        </w:numPr>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Enregistrer et présenter les risques escaladés pour les délibérations du comité ;</w:t>
      </w:r>
    </w:p>
    <w:p w14:paraId="28D429C2" w14:textId="77777777" w:rsidR="0011267F" w:rsidRPr="0011267F" w:rsidRDefault="0011267F" w:rsidP="0011267F">
      <w:pPr>
        <w:widowControl w:val="0"/>
        <w:numPr>
          <w:ilvl w:val="1"/>
          <w:numId w:val="1"/>
        </w:numPr>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Assurer une documentation adéquate des décisions du comité des risques</w:t>
      </w:r>
    </w:p>
    <w:p w14:paraId="6E52B2E4" w14:textId="77777777" w:rsidR="0011267F" w:rsidRPr="0011267F" w:rsidRDefault="0011267F" w:rsidP="0011267F">
      <w:pPr>
        <w:widowControl w:val="0"/>
        <w:numPr>
          <w:ilvl w:val="1"/>
          <w:numId w:val="1"/>
        </w:numPr>
        <w:autoSpaceDE w:val="0"/>
        <w:autoSpaceDN w:val="0"/>
        <w:spacing w:after="0" w:line="276" w:lineRule="auto"/>
        <w:ind w:left="1199" w:right="121"/>
        <w:jc w:val="both"/>
        <w:rPr>
          <w:rFonts w:ascii="Calibri" w:eastAsia="Calibri" w:hAnsi="Calibri" w:cs="Calibri"/>
          <w:kern w:val="0"/>
          <w:lang w:val="fr-FR"/>
          <w14:ligatures w14:val="none"/>
        </w:rPr>
      </w:pPr>
      <w:r w:rsidRPr="0011267F">
        <w:rPr>
          <w:rFonts w:ascii="Calibri" w:eastAsia="Calibri" w:hAnsi="Calibri" w:cs="Calibri"/>
          <w:kern w:val="0"/>
          <w:lang w:val="fr-FR"/>
          <w14:ligatures w14:val="none"/>
        </w:rPr>
        <w:t>Toute autre tâche confiée par le président du comité.</w:t>
      </w:r>
    </w:p>
    <w:p w14:paraId="75A5D69A" w14:textId="77777777" w:rsidR="0011267F" w:rsidRPr="0011267F" w:rsidRDefault="0011267F" w:rsidP="0011267F">
      <w:pPr>
        <w:widowControl w:val="0"/>
        <w:tabs>
          <w:tab w:val="left" w:pos="1200"/>
        </w:tabs>
        <w:autoSpaceDE w:val="0"/>
        <w:autoSpaceDN w:val="0"/>
        <w:spacing w:after="0" w:line="276" w:lineRule="auto"/>
        <w:ind w:left="1199" w:right="121"/>
        <w:jc w:val="both"/>
        <w:rPr>
          <w:rFonts w:ascii="Calibri" w:eastAsia="Calibri" w:hAnsi="Calibri" w:cs="Calibri"/>
          <w:kern w:val="0"/>
          <w:lang w:val="fr-FR"/>
          <w14:ligatures w14:val="none"/>
        </w:rPr>
      </w:pPr>
    </w:p>
    <w:p w14:paraId="7626C2DC" w14:textId="77777777" w:rsidR="0011267F" w:rsidRPr="0011267F" w:rsidRDefault="0011267F" w:rsidP="0011267F">
      <w:pPr>
        <w:widowControl w:val="0"/>
        <w:autoSpaceDE w:val="0"/>
        <w:autoSpaceDN w:val="0"/>
        <w:spacing w:after="0" w:line="279" w:lineRule="exact"/>
        <w:jc w:val="both"/>
        <w:rPr>
          <w:rFonts w:ascii="Times New Roman" w:eastAsia="Arial" w:hAnsi="Times New Roman" w:cs="Times New Roman"/>
          <w:kern w:val="0"/>
          <w:lang w:val="fr-FR"/>
          <w14:ligatures w14:val="none"/>
        </w:rPr>
      </w:pPr>
    </w:p>
    <w:p w14:paraId="480E67EF" w14:textId="77777777" w:rsidR="0011267F" w:rsidRPr="0011267F" w:rsidRDefault="0011267F" w:rsidP="0011267F">
      <w:pPr>
        <w:widowControl w:val="0"/>
        <w:autoSpaceDE w:val="0"/>
        <w:autoSpaceDN w:val="0"/>
        <w:spacing w:after="0" w:line="279" w:lineRule="exact"/>
        <w:jc w:val="both"/>
        <w:rPr>
          <w:rFonts w:ascii="Times New Roman" w:eastAsia="Arial" w:hAnsi="Times New Roman" w:cs="Times New Roman"/>
          <w:kern w:val="0"/>
          <w:lang w:val="fr-FR"/>
          <w14:ligatures w14:val="none"/>
        </w:rPr>
      </w:pPr>
    </w:p>
    <w:p w14:paraId="5EA06FBD" w14:textId="77777777" w:rsidR="0011267F" w:rsidRDefault="0011267F"/>
    <w:sectPr w:rsidR="00112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049B" w14:textId="77777777" w:rsidR="0011267F" w:rsidRDefault="0011267F" w:rsidP="0011267F">
      <w:pPr>
        <w:spacing w:after="0" w:line="240" w:lineRule="auto"/>
      </w:pPr>
      <w:r>
        <w:separator/>
      </w:r>
    </w:p>
  </w:endnote>
  <w:endnote w:type="continuationSeparator" w:id="0">
    <w:p w14:paraId="54BDE48B" w14:textId="77777777" w:rsidR="0011267F" w:rsidRDefault="0011267F" w:rsidP="0011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9270"/>
      <w:docPartObj>
        <w:docPartGallery w:val="Page Numbers (Bottom of Page)"/>
        <w:docPartUnique/>
      </w:docPartObj>
    </w:sdtPr>
    <w:sdtEndPr>
      <w:rPr>
        <w:noProof/>
      </w:rPr>
    </w:sdtEndPr>
    <w:sdtContent>
      <w:p w14:paraId="19EAF03E" w14:textId="7A78A238" w:rsidR="0011267F" w:rsidRDefault="001126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518D3" w14:textId="77777777" w:rsidR="0011267F" w:rsidRDefault="0011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1D3" w14:textId="77777777" w:rsidR="0011267F" w:rsidRDefault="0011267F" w:rsidP="0011267F">
      <w:pPr>
        <w:spacing w:after="0" w:line="240" w:lineRule="auto"/>
      </w:pPr>
      <w:r>
        <w:separator/>
      </w:r>
    </w:p>
  </w:footnote>
  <w:footnote w:type="continuationSeparator" w:id="0">
    <w:p w14:paraId="21C36DE7" w14:textId="77777777" w:rsidR="0011267F" w:rsidRDefault="0011267F" w:rsidP="0011267F">
      <w:pPr>
        <w:spacing w:after="0" w:line="240" w:lineRule="auto"/>
      </w:pPr>
      <w:r>
        <w:continuationSeparator/>
      </w:r>
    </w:p>
  </w:footnote>
  <w:footnote w:id="1">
    <w:p w14:paraId="45BA44B0" w14:textId="77777777" w:rsidR="0011267F" w:rsidRPr="004B57DF" w:rsidRDefault="0011267F" w:rsidP="0011267F">
      <w:pPr>
        <w:pStyle w:val="FootnoteText"/>
        <w:jc w:val="both"/>
        <w:rPr>
          <w:lang w:val="en-GB"/>
        </w:rPr>
      </w:pPr>
      <w:r>
        <w:rPr>
          <w:rStyle w:val="FootnoteReference"/>
        </w:rPr>
        <w:footnoteRef/>
      </w:r>
      <w:r>
        <w:t xml:space="preserve"> </w:t>
      </w:r>
      <w:r w:rsidRPr="004B57DF">
        <w:rPr>
          <w:sz w:val="16"/>
          <w:szCs w:val="16"/>
        </w:rPr>
        <w:t xml:space="preserve">Le Senior </w:t>
      </w:r>
      <w:proofErr w:type="spellStart"/>
      <w:r w:rsidRPr="004B57DF">
        <w:rPr>
          <w:sz w:val="16"/>
          <w:szCs w:val="16"/>
        </w:rPr>
        <w:t>Designated</w:t>
      </w:r>
      <w:proofErr w:type="spellEnd"/>
      <w:r w:rsidRPr="004B57DF">
        <w:rPr>
          <w:sz w:val="16"/>
          <w:szCs w:val="16"/>
        </w:rPr>
        <w:t xml:space="preserve"> </w:t>
      </w:r>
      <w:proofErr w:type="spellStart"/>
      <w:r w:rsidRPr="004B57DF">
        <w:rPr>
          <w:sz w:val="16"/>
          <w:szCs w:val="16"/>
        </w:rPr>
        <w:t>Officer</w:t>
      </w:r>
      <w:proofErr w:type="spellEnd"/>
      <w:r w:rsidRPr="004B57DF">
        <w:rPr>
          <w:sz w:val="16"/>
          <w:szCs w:val="16"/>
        </w:rPr>
        <w:t xml:space="preserve"> (SDO) est chargé de veiller à la mise en œuvre effective de la politique de lutte contre le blanchiment d'argent et le financement du terrorisme au PNUD et de prendre des décisions sur les questions présentant des risques accrus pour l'organisation, y compris les cas remontés. Le rôle du SDO est confié à l'Administrateur associé (AA). L'AA est également le responsable des risques du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1F3"/>
    <w:multiLevelType w:val="hybridMultilevel"/>
    <w:tmpl w:val="D8B40BE6"/>
    <w:lvl w:ilvl="0" w:tplc="CC7E7522">
      <w:start w:val="1"/>
      <w:numFmt w:val="decimal"/>
      <w:lvlText w:val="%1."/>
      <w:lvlJc w:val="left"/>
      <w:pPr>
        <w:ind w:left="929" w:hanging="360"/>
      </w:pPr>
      <w:rPr>
        <w:rFonts w:hint="default"/>
        <w:w w:val="99"/>
        <w:lang w:val="fr-FR" w:eastAsia="en-US" w:bidi="ar-SA"/>
      </w:rPr>
    </w:lvl>
    <w:lvl w:ilvl="1" w:tplc="1966C112">
      <w:start w:val="1"/>
      <w:numFmt w:val="lowerLetter"/>
      <w:lvlText w:val="(%2)"/>
      <w:lvlJc w:val="left"/>
      <w:pPr>
        <w:ind w:left="839" w:hanging="360"/>
      </w:pPr>
      <w:rPr>
        <w:rFonts w:ascii="Calibri" w:eastAsia="Calibri" w:hAnsi="Calibri" w:cs="Calibri"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1" w15:restartNumberingAfterBreak="0">
    <w:nsid w:val="5CD933E5"/>
    <w:multiLevelType w:val="hybridMultilevel"/>
    <w:tmpl w:val="456A4506"/>
    <w:lvl w:ilvl="0" w:tplc="44747846">
      <w:start w:val="1"/>
      <w:numFmt w:val="decimal"/>
      <w:lvlText w:val="%1."/>
      <w:lvlJc w:val="left"/>
      <w:pPr>
        <w:ind w:left="9008" w:hanging="360"/>
      </w:pPr>
      <w:rPr>
        <w:rFonts w:ascii="Calibri" w:eastAsia="Calibri" w:hAnsi="Calibri" w:cs="Calibri" w:hint="default"/>
        <w:b/>
        <w:bCs/>
        <w:i/>
        <w:iCs/>
        <w:w w:val="99"/>
        <w:sz w:val="22"/>
        <w:szCs w:val="22"/>
        <w:lang w:val="fr-FR" w:eastAsia="en-US" w:bidi="ar-SA"/>
      </w:rPr>
    </w:lvl>
    <w:lvl w:ilvl="1" w:tplc="940AC824">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2" w:tplc="A3F43EB6">
      <w:numFmt w:val="bullet"/>
      <w:lvlText w:val="•"/>
      <w:lvlJc w:val="left"/>
      <w:pPr>
        <w:ind w:left="2096" w:hanging="360"/>
      </w:pPr>
      <w:rPr>
        <w:rFonts w:hint="default"/>
        <w:lang w:val="fr-FR" w:eastAsia="en-US" w:bidi="ar-SA"/>
      </w:rPr>
    </w:lvl>
    <w:lvl w:ilvl="3" w:tplc="1EC85572">
      <w:numFmt w:val="bullet"/>
      <w:lvlText w:val="•"/>
      <w:lvlJc w:val="left"/>
      <w:pPr>
        <w:ind w:left="2992" w:hanging="360"/>
      </w:pPr>
      <w:rPr>
        <w:rFonts w:hint="default"/>
        <w:lang w:val="fr-FR" w:eastAsia="en-US" w:bidi="ar-SA"/>
      </w:rPr>
    </w:lvl>
    <w:lvl w:ilvl="4" w:tplc="69683DBC">
      <w:numFmt w:val="bullet"/>
      <w:lvlText w:val="•"/>
      <w:lvlJc w:val="left"/>
      <w:pPr>
        <w:ind w:left="3888" w:hanging="360"/>
      </w:pPr>
      <w:rPr>
        <w:rFonts w:hint="default"/>
        <w:lang w:val="fr-FR" w:eastAsia="en-US" w:bidi="ar-SA"/>
      </w:rPr>
    </w:lvl>
    <w:lvl w:ilvl="5" w:tplc="DFE4F18E">
      <w:numFmt w:val="bullet"/>
      <w:lvlText w:val="•"/>
      <w:lvlJc w:val="left"/>
      <w:pPr>
        <w:ind w:left="4785" w:hanging="360"/>
      </w:pPr>
      <w:rPr>
        <w:rFonts w:hint="default"/>
        <w:lang w:val="fr-FR" w:eastAsia="en-US" w:bidi="ar-SA"/>
      </w:rPr>
    </w:lvl>
    <w:lvl w:ilvl="6" w:tplc="63DED2B4">
      <w:numFmt w:val="bullet"/>
      <w:lvlText w:val="•"/>
      <w:lvlJc w:val="left"/>
      <w:pPr>
        <w:ind w:left="5681" w:hanging="360"/>
      </w:pPr>
      <w:rPr>
        <w:rFonts w:hint="default"/>
        <w:lang w:val="fr-FR" w:eastAsia="en-US" w:bidi="ar-SA"/>
      </w:rPr>
    </w:lvl>
    <w:lvl w:ilvl="7" w:tplc="D534D10E">
      <w:numFmt w:val="bullet"/>
      <w:lvlText w:val="•"/>
      <w:lvlJc w:val="left"/>
      <w:pPr>
        <w:ind w:left="6577" w:hanging="360"/>
      </w:pPr>
      <w:rPr>
        <w:rFonts w:hint="default"/>
        <w:lang w:val="fr-FR" w:eastAsia="en-US" w:bidi="ar-SA"/>
      </w:rPr>
    </w:lvl>
    <w:lvl w:ilvl="8" w:tplc="C4C4192A">
      <w:numFmt w:val="bullet"/>
      <w:lvlText w:val="•"/>
      <w:lvlJc w:val="left"/>
      <w:pPr>
        <w:ind w:left="7473" w:hanging="360"/>
      </w:pPr>
      <w:rPr>
        <w:rFonts w:hint="default"/>
        <w:lang w:val="fr-FR" w:eastAsia="en-US" w:bidi="ar-SA"/>
      </w:rPr>
    </w:lvl>
  </w:abstractNum>
  <w:abstractNum w:abstractNumId="2" w15:restartNumberingAfterBreak="0">
    <w:nsid w:val="7C743AFF"/>
    <w:multiLevelType w:val="hybridMultilevel"/>
    <w:tmpl w:val="22EE865A"/>
    <w:lvl w:ilvl="0" w:tplc="AB1E0894">
      <w:start w:val="1"/>
      <w:numFmt w:val="decimal"/>
      <w:lvlText w:val="%1)"/>
      <w:lvlJc w:val="left"/>
      <w:pPr>
        <w:ind w:left="621" w:hanging="360"/>
      </w:pPr>
      <w:rPr>
        <w:rFonts w:ascii="Calibri" w:eastAsia="Calibri" w:hAnsi="Calibri" w:cs="Calibri" w:hint="default"/>
        <w:b w:val="0"/>
        <w:bCs w:val="0"/>
        <w:i w:val="0"/>
        <w:iCs w:val="0"/>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num w:numId="1" w16cid:durableId="367611172">
    <w:abstractNumId w:val="1"/>
  </w:num>
  <w:num w:numId="2" w16cid:durableId="680398937">
    <w:abstractNumId w:val="2"/>
  </w:num>
  <w:num w:numId="3" w16cid:durableId="17288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7F"/>
    <w:rsid w:val="0011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414"/>
  <w15:chartTrackingRefBased/>
  <w15:docId w15:val="{91CD573C-3656-46F6-A141-29BF9E65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267F"/>
    <w:pPr>
      <w:widowControl w:val="0"/>
      <w:autoSpaceDE w:val="0"/>
      <w:autoSpaceDN w:val="0"/>
      <w:spacing w:after="0" w:line="240" w:lineRule="auto"/>
    </w:pPr>
    <w:rPr>
      <w:rFonts w:ascii="Arial" w:eastAsia="Arial" w:hAnsi="Arial" w:cs="Arial"/>
      <w:kern w:val="0"/>
      <w:sz w:val="20"/>
      <w:szCs w:val="20"/>
      <w:lang w:val="fr-FR"/>
      <w14:ligatures w14:val="none"/>
    </w:rPr>
  </w:style>
  <w:style w:type="character" w:customStyle="1" w:styleId="FootnoteTextChar">
    <w:name w:val="Footnote Text Char"/>
    <w:basedOn w:val="DefaultParagraphFont"/>
    <w:link w:val="FootnoteText"/>
    <w:uiPriority w:val="99"/>
    <w:semiHidden/>
    <w:rsid w:val="0011267F"/>
    <w:rPr>
      <w:rFonts w:ascii="Arial" w:eastAsia="Arial" w:hAnsi="Arial" w:cs="Arial"/>
      <w:kern w:val="0"/>
      <w:sz w:val="20"/>
      <w:szCs w:val="20"/>
      <w:lang w:val="fr-FR"/>
      <w14:ligatures w14:val="none"/>
    </w:rPr>
  </w:style>
  <w:style w:type="character" w:styleId="FootnoteReference">
    <w:name w:val="footnote reference"/>
    <w:basedOn w:val="DefaultParagraphFont"/>
    <w:uiPriority w:val="99"/>
    <w:semiHidden/>
    <w:unhideWhenUsed/>
    <w:rsid w:val="0011267F"/>
    <w:rPr>
      <w:vertAlign w:val="superscript"/>
    </w:rPr>
  </w:style>
  <w:style w:type="paragraph" w:styleId="Header">
    <w:name w:val="header"/>
    <w:basedOn w:val="Normal"/>
    <w:link w:val="HeaderChar"/>
    <w:uiPriority w:val="99"/>
    <w:unhideWhenUsed/>
    <w:rsid w:val="0011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7F"/>
  </w:style>
  <w:style w:type="paragraph" w:styleId="Footer">
    <w:name w:val="footer"/>
    <w:basedOn w:val="Normal"/>
    <w:link w:val="FooterChar"/>
    <w:uiPriority w:val="99"/>
    <w:unhideWhenUsed/>
    <w:rsid w:val="0011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4066"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popp.undp.org/node/4066" TargetMode="External"/><Relationship Id="rId4" Type="http://schemas.openxmlformats.org/officeDocument/2006/relationships/webSettings" Target="webSettings.xml"/><Relationship Id="rId9" Type="http://schemas.openxmlformats.org/officeDocument/2006/relationships/hyperlink" Target="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a:xfrm>
          <a:off x="576111" y="1855256"/>
          <a:ext cx="659982"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a:ea typeface="+mn-ea"/>
              <a:cs typeface="+mn-cs"/>
            </a:rPr>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a:xfrm>
          <a:off x="1500087" y="1855256"/>
          <a:ext cx="659982"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a:ea typeface="+mn-ea"/>
              <a:cs typeface="+mn-cs"/>
            </a:rPr>
            <a:t>RISK COMMITTEE</a:t>
          </a:r>
        </a:p>
      </dgm:t>
    </dgm:pt>
    <dgm:pt modelId="{961A9BFF-624C-4866-947E-5BCBCA50B414}" type="parTrans" cxnId="{6B7CC9BD-B3BE-4009-968A-7597B55A7909}">
      <dgm:prSet/>
      <dgm:spPr>
        <a:xfrm>
          <a:off x="1236094" y="2010991"/>
          <a:ext cx="263993" cy="18522"/>
        </a:xfrm>
        <a:custGeom>
          <a:avLst/>
          <a:gdLst/>
          <a:ahLst/>
          <a:cxnLst/>
          <a:rect l="0" t="0" r="0" b="0"/>
          <a:pathLst>
            <a:path>
              <a:moveTo>
                <a:pt x="0" y="9261"/>
              </a:moveTo>
              <a:lnTo>
                <a:pt x="263993" y="9261"/>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a:ea typeface="+mn-ea"/>
            <a:cs typeface="+mn-cs"/>
          </a:endParaRPr>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a:xfrm>
          <a:off x="2428644" y="797409"/>
          <a:ext cx="1035671" cy="489753"/>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fr-CH" sz="1000" b="1">
              <a:solidFill>
                <a:sysClr val="window" lastClr="FFFFFF"/>
              </a:solidFill>
              <a:latin typeface="Calibri"/>
              <a:ea typeface="+mn-ea"/>
              <a:cs typeface="+mn-cs"/>
            </a:rPr>
            <a:t>GROUPE DE PERFORMANCE ORGANISATIONNELLE (OPG)</a:t>
          </a:r>
          <a:r>
            <a:rPr lang="en-US" sz="1000" b="1">
              <a:solidFill>
                <a:sysClr val="window" lastClr="FFFFFF"/>
              </a:solidFill>
              <a:latin typeface="Calibri"/>
              <a:ea typeface="+mn-ea"/>
              <a:cs typeface="+mn-cs"/>
            </a:rPr>
            <a:t>)</a:t>
          </a:r>
        </a:p>
      </dgm:t>
    </dgm:pt>
    <dgm:pt modelId="{B9A35410-BE1A-4856-B6A3-E5A85793D0EF}" type="parTrans" cxnId="{56F89215-B910-40F7-9EF5-1D93853D81C7}">
      <dgm:prSet/>
      <dgm:spPr>
        <a:xfrm rot="17121375">
          <a:off x="1787270" y="1522007"/>
          <a:ext cx="1014174" cy="18522"/>
        </a:xfrm>
        <a:custGeom>
          <a:avLst/>
          <a:gdLst/>
          <a:ahLst/>
          <a:cxnLst/>
          <a:rect l="0" t="0" r="0" b="0"/>
          <a:pathLst>
            <a:path>
              <a:moveTo>
                <a:pt x="0" y="9261"/>
              </a:moveTo>
              <a:lnTo>
                <a:pt x="1014174" y="926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a:ea typeface="+mn-ea"/>
            <a:cs typeface="+mn-cs"/>
          </a:endParaRPr>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a:xfrm>
          <a:off x="2424064" y="1387012"/>
          <a:ext cx="1055523"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fr-CH" sz="1000" b="1">
              <a:solidFill>
                <a:sysClr val="window" lastClr="FFFFFF"/>
              </a:solidFill>
              <a:latin typeface="Calibri"/>
              <a:ea typeface="+mn-ea"/>
              <a:cs typeface="+mn-cs"/>
            </a:rPr>
            <a:t>ÉQUIPE DIRIGEANTE</a:t>
          </a:r>
          <a:endParaRPr lang="en-US" sz="1000" b="1">
            <a:solidFill>
              <a:sysClr val="window" lastClr="FFFFFF"/>
            </a:solidFill>
            <a:latin typeface="Calibri"/>
            <a:ea typeface="+mn-ea"/>
            <a:cs typeface="+mn-cs"/>
          </a:endParaRPr>
        </a:p>
      </dgm:t>
    </dgm:pt>
    <dgm:pt modelId="{2BF857FB-0556-44D3-A666-D2D06E469232}" type="parTrans" cxnId="{2671D235-E181-4CD7-8CE6-01D2ACFE6B30}">
      <dgm:prSet/>
      <dgm:spPr>
        <a:xfrm rot="17964840">
          <a:off x="2023299" y="1776868"/>
          <a:ext cx="537536" cy="18522"/>
        </a:xfrm>
        <a:custGeom>
          <a:avLst/>
          <a:gdLst/>
          <a:ahLst/>
          <a:cxnLst/>
          <a:rect l="0" t="0" r="0" b="0"/>
          <a:pathLst>
            <a:path>
              <a:moveTo>
                <a:pt x="0" y="9261"/>
              </a:moveTo>
              <a:lnTo>
                <a:pt x="537536" y="926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a:ea typeface="+mn-ea"/>
            <a:cs typeface="+mn-cs"/>
          </a:endParaRPr>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a:xfrm>
          <a:off x="2424064" y="1830586"/>
          <a:ext cx="1046079" cy="438393"/>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fr-CH" sz="1000" b="1">
              <a:solidFill>
                <a:sysClr val="window" lastClr="FFFFFF"/>
              </a:solidFill>
              <a:latin typeface="Calibri"/>
              <a:ea typeface="+mn-ea"/>
              <a:cs typeface="+mn-cs"/>
            </a:rPr>
            <a:t>GROUPE DE GESTION DE LA SÉCURITÉ</a:t>
          </a:r>
          <a:endParaRPr lang="en-US" sz="1000" b="1">
            <a:solidFill>
              <a:sysClr val="window" lastClr="FFFFFF"/>
            </a:solidFill>
            <a:latin typeface="Calibri"/>
            <a:ea typeface="+mn-ea"/>
            <a:cs typeface="+mn-cs"/>
          </a:endParaRPr>
        </a:p>
      </dgm:t>
    </dgm:pt>
    <dgm:pt modelId="{ABB93559-6D21-43D3-B724-13AB214FF007}" type="parTrans" cxnId="{4B5DDC53-4B2D-4ED9-9680-F54E6741878B}">
      <dgm:prSet/>
      <dgm:spPr>
        <a:xfrm rot="382963">
          <a:off x="2159247" y="2025756"/>
          <a:ext cx="265639" cy="18522"/>
        </a:xfrm>
        <a:custGeom>
          <a:avLst/>
          <a:gdLst/>
          <a:ahLst/>
          <a:cxnLst/>
          <a:rect l="0" t="0" r="0" b="0"/>
          <a:pathLst>
            <a:path>
              <a:moveTo>
                <a:pt x="0" y="9261"/>
              </a:moveTo>
              <a:lnTo>
                <a:pt x="265639" y="926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a:ea typeface="+mn-ea"/>
            <a:cs typeface="+mn-cs"/>
          </a:endParaRPr>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a:xfrm>
          <a:off x="2424064" y="2368829"/>
          <a:ext cx="1039116"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fr-CH" sz="1000" b="0" i="0">
              <a:solidFill>
                <a:sysClr val="window" lastClr="FFFFFF"/>
              </a:solidFill>
              <a:latin typeface="Calibri"/>
              <a:ea typeface="+mn-ea"/>
              <a:cs typeface="+mn-cs"/>
            </a:rPr>
            <a:t>COMITÉ DE CRISE</a:t>
          </a:r>
          <a:endParaRPr lang="en-US" sz="1000" b="1">
            <a:solidFill>
              <a:sysClr val="window" lastClr="FFFFFF"/>
            </a:solidFill>
            <a:latin typeface="Calibri"/>
            <a:ea typeface="+mn-ea"/>
            <a:cs typeface="+mn-cs"/>
          </a:endParaRPr>
        </a:p>
      </dgm:t>
    </dgm:pt>
    <dgm:pt modelId="{B7F79038-E349-486F-91FB-33BA8725BC2A}" type="parTrans" cxnId="{AD7E8CF0-0E16-4E92-8A8F-6FF25EA6E4A4}">
      <dgm:prSet/>
      <dgm:spPr>
        <a:xfrm rot="3767720">
          <a:off x="2003342" y="2267777"/>
          <a:ext cx="577450" cy="18522"/>
        </a:xfrm>
        <a:custGeom>
          <a:avLst/>
          <a:gdLst/>
          <a:ahLst/>
          <a:cxnLst/>
          <a:rect l="0" t="0" r="0" b="0"/>
          <a:pathLst>
            <a:path>
              <a:moveTo>
                <a:pt x="0" y="9261"/>
              </a:moveTo>
              <a:lnTo>
                <a:pt x="577450" y="926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a:ea typeface="+mn-ea"/>
            <a:cs typeface="+mn-cs"/>
          </a:endParaRPr>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a:xfrm>
          <a:off x="2358065" y="0"/>
          <a:ext cx="1151086"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gm:spPr>
      <dgm:t>
        <a:bodyPr/>
        <a:lstStyle/>
        <a:p>
          <a:pPr algn="ctr">
            <a:buNone/>
          </a:pPr>
          <a:r>
            <a:rPr lang="fr-CH" sz="1000" b="1">
              <a:solidFill>
                <a:sysClr val="windowText" lastClr="000000">
                  <a:hueOff val="0"/>
                  <a:satOff val="0"/>
                  <a:lumOff val="0"/>
                  <a:alphaOff val="0"/>
                </a:sysClr>
              </a:solidFill>
              <a:latin typeface="Calibri"/>
              <a:ea typeface="+mn-ea"/>
              <a:cs typeface="+mn-cs"/>
            </a:rPr>
            <a:t>IDENTIFICATION ET TRAITEMENT DES RISQUES</a:t>
          </a:r>
          <a:endParaRPr lang="en-US" sz="1000" b="1">
            <a:solidFill>
              <a:sysClr val="windowText" lastClr="000000">
                <a:hueOff val="0"/>
                <a:satOff val="0"/>
                <a:lumOff val="0"/>
                <a:alphaOff val="0"/>
              </a:sysClr>
            </a:solidFill>
            <a:latin typeface="Calibri"/>
            <a:ea typeface="+mn-ea"/>
            <a:cs typeface="+mn-cs"/>
          </a:endParaRP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a:xfrm>
          <a:off x="1434089" y="0"/>
          <a:ext cx="791979"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gm:spPr>
      <dgm:t>
        <a:bodyPr/>
        <a:lstStyle/>
        <a:p>
          <a:pPr algn="ctr">
            <a:buNone/>
          </a:pPr>
          <a:r>
            <a:rPr lang="fr-CH" sz="1000" b="1">
              <a:solidFill>
                <a:sysClr val="windowText" lastClr="000000">
                  <a:hueOff val="0"/>
                  <a:satOff val="0"/>
                  <a:lumOff val="0"/>
                  <a:alphaOff val="0"/>
                </a:sysClr>
              </a:solidFill>
              <a:latin typeface="Calibri"/>
              <a:ea typeface="+mn-ea"/>
              <a:cs typeface="+mn-cs"/>
            </a:rPr>
            <a:t>L'ANALYSE DES RISQUES, L'ÉVALUATION. RECOMMANDATION ET SUIVI</a:t>
          </a:r>
          <a:endParaRPr lang="en-US" sz="1000" b="1">
            <a:solidFill>
              <a:sysClr val="windowText" lastClr="000000">
                <a:hueOff val="0"/>
                <a:satOff val="0"/>
                <a:lumOff val="0"/>
                <a:alphaOff val="0"/>
              </a:sysClr>
            </a:solidFill>
            <a:latin typeface="Calibri"/>
            <a:ea typeface="+mn-ea"/>
            <a:cs typeface="+mn-cs"/>
          </a:endParaRPr>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a:xfrm>
          <a:off x="510113" y="0"/>
          <a:ext cx="791979"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gm:spPr>
      <dgm:t>
        <a:bodyPr/>
        <a:lstStyle/>
        <a:p>
          <a:pPr algn="ctr">
            <a:buNone/>
          </a:pPr>
          <a:r>
            <a:rPr lang="fr-CH" sz="900" b="1">
              <a:solidFill>
                <a:sysClr val="windowText" lastClr="000000">
                  <a:hueOff val="0"/>
                  <a:satOff val="0"/>
                  <a:lumOff val="0"/>
                  <a:alphaOff val="0"/>
                </a:sysClr>
              </a:solidFill>
              <a:latin typeface="Calibri"/>
              <a:ea typeface="+mn-ea"/>
              <a:cs typeface="+mn-cs"/>
            </a:rPr>
            <a:t>INFORMATION SUR LES RISQUES ET LA PRISE DE DÉCISION</a:t>
          </a:r>
          <a:endParaRPr lang="en-US" sz="1000" b="1">
            <a:solidFill>
              <a:sysClr val="windowText" lastClr="000000">
                <a:hueOff val="0"/>
                <a:satOff val="0"/>
                <a:lumOff val="0"/>
                <a:alphaOff val="0"/>
              </a:sysClr>
            </a:solidFill>
            <a:latin typeface="Calibri"/>
            <a:ea typeface="+mn-ea"/>
            <a:cs typeface="+mn-cs"/>
          </a:endParaRP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a:xfrm>
          <a:off x="2424064" y="2748319"/>
          <a:ext cx="1030721" cy="32999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a:ea typeface="+mn-ea"/>
              <a:cs typeface="+mn-cs"/>
            </a:rPr>
            <a:t>Bureaux/Offices</a:t>
          </a:r>
        </a:p>
      </dgm:t>
    </dgm:pt>
    <dgm:pt modelId="{943EB31F-B2D7-49D6-8CDD-6414260B785D}" type="parTrans" cxnId="{84EB1760-2743-4609-8C6A-7645A45032FF}">
      <dgm:prSet/>
      <dgm:spPr>
        <a:xfrm rot="4411925">
          <a:off x="1826435" y="2457522"/>
          <a:ext cx="931264" cy="18522"/>
        </a:xfrm>
        <a:custGeom>
          <a:avLst/>
          <a:gdLst/>
          <a:ahLst/>
          <a:cxnLst/>
          <a:rect l="0" t="0" r="0" b="0"/>
          <a:pathLst>
            <a:path>
              <a:moveTo>
                <a:pt x="0" y="9261"/>
              </a:moveTo>
              <a:lnTo>
                <a:pt x="931264" y="926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pPr algn="ctr">
            <a:buNone/>
          </a:pPr>
          <a:endParaRPr lang="en-US">
            <a:solidFill>
              <a:sysClr val="windowText" lastClr="000000">
                <a:hueOff val="0"/>
                <a:satOff val="0"/>
                <a:lumOff val="0"/>
                <a:alphaOff val="0"/>
              </a:sysClr>
            </a:solidFill>
            <a:latin typeface="Calibri"/>
            <a:ea typeface="+mn-ea"/>
            <a:cs typeface="+mn-cs"/>
          </a:endParaRPr>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ScaleY="14841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ScaleY="132850"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358065" y="0"/>
          <a:ext cx="1151086"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H" sz="1000" b="1" kern="1200">
              <a:solidFill>
                <a:sysClr val="windowText" lastClr="000000">
                  <a:hueOff val="0"/>
                  <a:satOff val="0"/>
                  <a:lumOff val="0"/>
                  <a:alphaOff val="0"/>
                </a:sysClr>
              </a:solidFill>
              <a:latin typeface="Calibri"/>
              <a:ea typeface="+mn-ea"/>
              <a:cs typeface="+mn-cs"/>
            </a:rPr>
            <a:t>IDENTIFICATION ET TRAITEMENT DES RISQUES</a:t>
          </a:r>
          <a:endParaRPr lang="en-US" sz="1000" b="1" kern="1200">
            <a:solidFill>
              <a:sysClr val="windowText" lastClr="000000">
                <a:hueOff val="0"/>
                <a:satOff val="0"/>
                <a:lumOff val="0"/>
                <a:alphaOff val="0"/>
              </a:sysClr>
            </a:solidFill>
            <a:latin typeface="Calibri"/>
            <a:ea typeface="+mn-ea"/>
            <a:cs typeface="+mn-cs"/>
          </a:endParaRPr>
        </a:p>
      </dsp:txBody>
      <dsp:txXfrm>
        <a:off x="2386242" y="28177"/>
        <a:ext cx="1094732" cy="905671"/>
      </dsp:txXfrm>
    </dsp:sp>
    <dsp:sp modelId="{F4DA2FB0-28CB-4E42-BCD3-F6D15E6959CB}">
      <dsp:nvSpPr>
        <dsp:cNvPr id="0" name=""/>
        <dsp:cNvSpPr/>
      </dsp:nvSpPr>
      <dsp:spPr>
        <a:xfrm>
          <a:off x="1434089" y="0"/>
          <a:ext cx="791979"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H" sz="1000" b="1" kern="1200">
              <a:solidFill>
                <a:sysClr val="windowText" lastClr="000000">
                  <a:hueOff val="0"/>
                  <a:satOff val="0"/>
                  <a:lumOff val="0"/>
                  <a:alphaOff val="0"/>
                </a:sysClr>
              </a:solidFill>
              <a:latin typeface="Calibri"/>
              <a:ea typeface="+mn-ea"/>
              <a:cs typeface="+mn-cs"/>
            </a:rPr>
            <a:t>L'ANALYSE DES RISQUES, L'ÉVALUATION. RECOMMANDATION ET SUIVI</a:t>
          </a:r>
          <a:endParaRPr lang="en-US" sz="1000" b="1" kern="1200">
            <a:solidFill>
              <a:sysClr val="windowText" lastClr="000000">
                <a:hueOff val="0"/>
                <a:satOff val="0"/>
                <a:lumOff val="0"/>
                <a:alphaOff val="0"/>
              </a:sysClr>
            </a:solidFill>
            <a:latin typeface="Calibri"/>
            <a:ea typeface="+mn-ea"/>
            <a:cs typeface="+mn-cs"/>
          </a:endParaRPr>
        </a:p>
      </dsp:txBody>
      <dsp:txXfrm>
        <a:off x="1457285" y="23196"/>
        <a:ext cx="745587" cy="915633"/>
      </dsp:txXfrm>
    </dsp:sp>
    <dsp:sp modelId="{58CFBB39-9787-4E23-A4D3-E8A0819916F9}">
      <dsp:nvSpPr>
        <dsp:cNvPr id="0" name=""/>
        <dsp:cNvSpPr/>
      </dsp:nvSpPr>
      <dsp:spPr>
        <a:xfrm>
          <a:off x="510113" y="0"/>
          <a:ext cx="791979" cy="3206750"/>
        </a:xfrm>
        <a:prstGeom prst="roundRect">
          <a:avLst>
            <a:gd name="adj" fmla="val 10000"/>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hueOff val="0"/>
                  <a:satOff val="0"/>
                  <a:lumOff val="0"/>
                  <a:alphaOff val="0"/>
                </a:sysClr>
              </a:solidFill>
              <a:latin typeface="Calibri"/>
              <a:ea typeface="+mn-ea"/>
              <a:cs typeface="+mn-cs"/>
            </a:rPr>
            <a:t>INFORMATION SUR LES RISQUES ET LA PRISE DE DÉCISION</a:t>
          </a:r>
          <a:endParaRPr lang="en-US" sz="1000" b="1" kern="1200">
            <a:solidFill>
              <a:sysClr val="windowText" lastClr="000000">
                <a:hueOff val="0"/>
                <a:satOff val="0"/>
                <a:lumOff val="0"/>
                <a:alphaOff val="0"/>
              </a:sysClr>
            </a:solidFill>
            <a:latin typeface="Calibri"/>
            <a:ea typeface="+mn-ea"/>
            <a:cs typeface="+mn-cs"/>
          </a:endParaRPr>
        </a:p>
      </dsp:txBody>
      <dsp:txXfrm>
        <a:off x="533309" y="23196"/>
        <a:ext cx="745587" cy="915633"/>
      </dsp:txXfrm>
    </dsp:sp>
    <dsp:sp modelId="{6CB256D6-FCCF-4A31-ADDF-DB035C701CA2}">
      <dsp:nvSpPr>
        <dsp:cNvPr id="0" name=""/>
        <dsp:cNvSpPr/>
      </dsp:nvSpPr>
      <dsp:spPr>
        <a:xfrm>
          <a:off x="576111" y="1855256"/>
          <a:ext cx="659982"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EXECUTIVE GROUP</a:t>
          </a:r>
        </a:p>
      </dsp:txBody>
      <dsp:txXfrm>
        <a:off x="592220" y="1871365"/>
        <a:ext cx="627764" cy="297773"/>
      </dsp:txXfrm>
    </dsp:sp>
    <dsp:sp modelId="{C0F6EC62-D98C-4AD4-A855-EC4D1137D1D1}">
      <dsp:nvSpPr>
        <dsp:cNvPr id="0" name=""/>
        <dsp:cNvSpPr/>
      </dsp:nvSpPr>
      <dsp:spPr>
        <a:xfrm>
          <a:off x="1236094" y="2010991"/>
          <a:ext cx="263993" cy="18522"/>
        </a:xfrm>
        <a:custGeom>
          <a:avLst/>
          <a:gdLst/>
          <a:ahLst/>
          <a:cxnLst/>
          <a:rect l="0" t="0" r="0" b="0"/>
          <a:pathLst>
            <a:path>
              <a:moveTo>
                <a:pt x="0" y="9261"/>
              </a:moveTo>
              <a:lnTo>
                <a:pt x="263993" y="9261"/>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a:ea typeface="+mn-ea"/>
            <a:cs typeface="+mn-cs"/>
          </a:endParaRPr>
        </a:p>
      </dsp:txBody>
      <dsp:txXfrm>
        <a:off x="1361491" y="2013652"/>
        <a:ext cx="0" cy="0"/>
      </dsp:txXfrm>
    </dsp:sp>
    <dsp:sp modelId="{CCAFF023-0A9F-4BE2-B691-30F87D16E209}">
      <dsp:nvSpPr>
        <dsp:cNvPr id="0" name=""/>
        <dsp:cNvSpPr/>
      </dsp:nvSpPr>
      <dsp:spPr>
        <a:xfrm>
          <a:off x="1500087" y="1855256"/>
          <a:ext cx="659982"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RISK COMMITTEE</a:t>
          </a:r>
        </a:p>
      </dsp:txBody>
      <dsp:txXfrm>
        <a:off x="1516196" y="1871365"/>
        <a:ext cx="627764" cy="297773"/>
      </dsp:txXfrm>
    </dsp:sp>
    <dsp:sp modelId="{52400D05-091B-41BE-AA52-E97E35C4276A}">
      <dsp:nvSpPr>
        <dsp:cNvPr id="0" name=""/>
        <dsp:cNvSpPr/>
      </dsp:nvSpPr>
      <dsp:spPr>
        <a:xfrm rot="17121375">
          <a:off x="1787270" y="1522007"/>
          <a:ext cx="1014174" cy="18522"/>
        </a:xfrm>
        <a:custGeom>
          <a:avLst/>
          <a:gdLst/>
          <a:ahLst/>
          <a:cxnLst/>
          <a:rect l="0" t="0" r="0" b="0"/>
          <a:pathLst>
            <a:path>
              <a:moveTo>
                <a:pt x="0" y="9261"/>
              </a:moveTo>
              <a:lnTo>
                <a:pt x="1014174" y="926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a:ea typeface="+mn-ea"/>
            <a:cs typeface="+mn-cs"/>
          </a:endParaRPr>
        </a:p>
      </dsp:txBody>
      <dsp:txXfrm>
        <a:off x="2263194" y="1549004"/>
        <a:ext cx="0" cy="0"/>
      </dsp:txXfrm>
    </dsp:sp>
    <dsp:sp modelId="{3F796117-F3C0-458B-9E4C-84FE5105D257}">
      <dsp:nvSpPr>
        <dsp:cNvPr id="0" name=""/>
        <dsp:cNvSpPr/>
      </dsp:nvSpPr>
      <dsp:spPr>
        <a:xfrm>
          <a:off x="2428644" y="797409"/>
          <a:ext cx="1035671" cy="489753"/>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solidFill>
                <a:sysClr val="window" lastClr="FFFFFF"/>
              </a:solidFill>
              <a:latin typeface="Calibri"/>
              <a:ea typeface="+mn-ea"/>
              <a:cs typeface="+mn-cs"/>
            </a:rPr>
            <a:t>GROUPE DE PERFORMANCE ORGANISATIONNELLE (OPG)</a:t>
          </a:r>
          <a:r>
            <a:rPr lang="en-US" sz="1000" b="1" kern="1200">
              <a:solidFill>
                <a:sysClr val="window" lastClr="FFFFFF"/>
              </a:solidFill>
              <a:latin typeface="Calibri"/>
              <a:ea typeface="+mn-ea"/>
              <a:cs typeface="+mn-cs"/>
            </a:rPr>
            <a:t>)</a:t>
          </a:r>
        </a:p>
      </dsp:txBody>
      <dsp:txXfrm>
        <a:off x="2452551" y="821316"/>
        <a:ext cx="987857" cy="441939"/>
      </dsp:txXfrm>
    </dsp:sp>
    <dsp:sp modelId="{9DAF94B6-B328-43A9-9B02-B66C46B1A5E2}">
      <dsp:nvSpPr>
        <dsp:cNvPr id="0" name=""/>
        <dsp:cNvSpPr/>
      </dsp:nvSpPr>
      <dsp:spPr>
        <a:xfrm rot="17964840">
          <a:off x="2023299" y="1776868"/>
          <a:ext cx="537536" cy="18522"/>
        </a:xfrm>
        <a:custGeom>
          <a:avLst/>
          <a:gdLst/>
          <a:ahLst/>
          <a:cxnLst/>
          <a:rect l="0" t="0" r="0" b="0"/>
          <a:pathLst>
            <a:path>
              <a:moveTo>
                <a:pt x="0" y="9261"/>
              </a:moveTo>
              <a:lnTo>
                <a:pt x="537536" y="926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a:ea typeface="+mn-ea"/>
            <a:cs typeface="+mn-cs"/>
          </a:endParaRPr>
        </a:p>
      </dsp:txBody>
      <dsp:txXfrm>
        <a:off x="2273762" y="1791235"/>
        <a:ext cx="0" cy="0"/>
      </dsp:txXfrm>
    </dsp:sp>
    <dsp:sp modelId="{CD379ED6-D4B0-40FB-AD88-45A06AD75910}">
      <dsp:nvSpPr>
        <dsp:cNvPr id="0" name=""/>
        <dsp:cNvSpPr/>
      </dsp:nvSpPr>
      <dsp:spPr>
        <a:xfrm>
          <a:off x="2424064" y="1387012"/>
          <a:ext cx="1055523"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solidFill>
                <a:sysClr val="window" lastClr="FFFFFF"/>
              </a:solidFill>
              <a:latin typeface="Calibri"/>
              <a:ea typeface="+mn-ea"/>
              <a:cs typeface="+mn-cs"/>
            </a:rPr>
            <a:t>ÉQUIPE DIRIGEANTE</a:t>
          </a:r>
          <a:endParaRPr lang="en-US" sz="1000" b="1" kern="1200">
            <a:solidFill>
              <a:sysClr val="window" lastClr="FFFFFF"/>
            </a:solidFill>
            <a:latin typeface="Calibri"/>
            <a:ea typeface="+mn-ea"/>
            <a:cs typeface="+mn-cs"/>
          </a:endParaRPr>
        </a:p>
      </dsp:txBody>
      <dsp:txXfrm>
        <a:off x="2440173" y="1403121"/>
        <a:ext cx="1023305" cy="297773"/>
      </dsp:txXfrm>
    </dsp:sp>
    <dsp:sp modelId="{CD39D1E0-BAFA-4282-9069-E12FA2A9ED6A}">
      <dsp:nvSpPr>
        <dsp:cNvPr id="0" name=""/>
        <dsp:cNvSpPr/>
      </dsp:nvSpPr>
      <dsp:spPr>
        <a:xfrm rot="382963">
          <a:off x="2159247" y="2025756"/>
          <a:ext cx="265639" cy="18522"/>
        </a:xfrm>
        <a:custGeom>
          <a:avLst/>
          <a:gdLst/>
          <a:ahLst/>
          <a:cxnLst/>
          <a:rect l="0" t="0" r="0" b="0"/>
          <a:pathLst>
            <a:path>
              <a:moveTo>
                <a:pt x="0" y="9261"/>
              </a:moveTo>
              <a:lnTo>
                <a:pt x="265639" y="926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a:ea typeface="+mn-ea"/>
            <a:cs typeface="+mn-cs"/>
          </a:endParaRPr>
        </a:p>
      </dsp:txBody>
      <dsp:txXfrm>
        <a:off x="2286205" y="2027679"/>
        <a:ext cx="0" cy="0"/>
      </dsp:txXfrm>
    </dsp:sp>
    <dsp:sp modelId="{1BAAF516-C7F2-4667-8F11-154843D8E091}">
      <dsp:nvSpPr>
        <dsp:cNvPr id="0" name=""/>
        <dsp:cNvSpPr/>
      </dsp:nvSpPr>
      <dsp:spPr>
        <a:xfrm>
          <a:off x="2424064" y="1830586"/>
          <a:ext cx="1046079" cy="438393"/>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solidFill>
                <a:sysClr val="window" lastClr="FFFFFF"/>
              </a:solidFill>
              <a:latin typeface="Calibri"/>
              <a:ea typeface="+mn-ea"/>
              <a:cs typeface="+mn-cs"/>
            </a:rPr>
            <a:t>GROUPE DE GESTION DE LA SÉCURITÉ</a:t>
          </a:r>
          <a:endParaRPr lang="en-US" sz="1000" b="1" kern="1200">
            <a:solidFill>
              <a:sysClr val="window" lastClr="FFFFFF"/>
            </a:solidFill>
            <a:latin typeface="Calibri"/>
            <a:ea typeface="+mn-ea"/>
            <a:cs typeface="+mn-cs"/>
          </a:endParaRPr>
        </a:p>
      </dsp:txBody>
      <dsp:txXfrm>
        <a:off x="2445464" y="1851986"/>
        <a:ext cx="1003279" cy="395593"/>
      </dsp:txXfrm>
    </dsp:sp>
    <dsp:sp modelId="{0C1F1798-3416-49D7-BD3E-E84B58E13DAD}">
      <dsp:nvSpPr>
        <dsp:cNvPr id="0" name=""/>
        <dsp:cNvSpPr/>
      </dsp:nvSpPr>
      <dsp:spPr>
        <a:xfrm rot="3767720">
          <a:off x="2003342" y="2267777"/>
          <a:ext cx="577450" cy="18522"/>
        </a:xfrm>
        <a:custGeom>
          <a:avLst/>
          <a:gdLst/>
          <a:ahLst/>
          <a:cxnLst/>
          <a:rect l="0" t="0" r="0" b="0"/>
          <a:pathLst>
            <a:path>
              <a:moveTo>
                <a:pt x="0" y="9261"/>
              </a:moveTo>
              <a:lnTo>
                <a:pt x="577450" y="926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a:ea typeface="+mn-ea"/>
            <a:cs typeface="+mn-cs"/>
          </a:endParaRPr>
        </a:p>
      </dsp:txBody>
      <dsp:txXfrm>
        <a:off x="2298306" y="2257599"/>
        <a:ext cx="0" cy="0"/>
      </dsp:txXfrm>
    </dsp:sp>
    <dsp:sp modelId="{018274AD-B94B-49BF-A286-DF427BF0D4AD}">
      <dsp:nvSpPr>
        <dsp:cNvPr id="0" name=""/>
        <dsp:cNvSpPr/>
      </dsp:nvSpPr>
      <dsp:spPr>
        <a:xfrm>
          <a:off x="2424064" y="2368829"/>
          <a:ext cx="1039116" cy="329991"/>
        </a:xfrm>
        <a:prstGeom prst="flowChartAlternateProcess">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0" i="0" kern="1200">
              <a:solidFill>
                <a:sysClr val="window" lastClr="FFFFFF"/>
              </a:solidFill>
              <a:latin typeface="Calibri"/>
              <a:ea typeface="+mn-ea"/>
              <a:cs typeface="+mn-cs"/>
            </a:rPr>
            <a:t>COMITÉ DE CRISE</a:t>
          </a:r>
          <a:endParaRPr lang="en-US" sz="1000" b="1" kern="1200">
            <a:solidFill>
              <a:sysClr val="window" lastClr="FFFFFF"/>
            </a:solidFill>
            <a:latin typeface="Calibri"/>
            <a:ea typeface="+mn-ea"/>
            <a:cs typeface="+mn-cs"/>
          </a:endParaRPr>
        </a:p>
      </dsp:txBody>
      <dsp:txXfrm>
        <a:off x="2440173" y="2384938"/>
        <a:ext cx="1006898" cy="297773"/>
      </dsp:txXfrm>
    </dsp:sp>
    <dsp:sp modelId="{C1176CAC-ADB4-44D6-B4A6-94C8A29B7D81}">
      <dsp:nvSpPr>
        <dsp:cNvPr id="0" name=""/>
        <dsp:cNvSpPr/>
      </dsp:nvSpPr>
      <dsp:spPr>
        <a:xfrm rot="4411925">
          <a:off x="1826435" y="2457522"/>
          <a:ext cx="931264" cy="18522"/>
        </a:xfrm>
        <a:custGeom>
          <a:avLst/>
          <a:gdLst/>
          <a:ahLst/>
          <a:cxnLst/>
          <a:rect l="0" t="0" r="0" b="0"/>
          <a:pathLst>
            <a:path>
              <a:moveTo>
                <a:pt x="0" y="9261"/>
              </a:moveTo>
              <a:lnTo>
                <a:pt x="931264" y="926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07793" y="2437857"/>
        <a:ext cx="0" cy="0"/>
      </dsp:txXfrm>
    </dsp:sp>
    <dsp:sp modelId="{D6DCC517-E673-45BB-8274-0D301D52BE9C}">
      <dsp:nvSpPr>
        <dsp:cNvPr id="0" name=""/>
        <dsp:cNvSpPr/>
      </dsp:nvSpPr>
      <dsp:spPr>
        <a:xfrm>
          <a:off x="2424064" y="2748319"/>
          <a:ext cx="1030721" cy="32999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a:ea typeface="+mn-ea"/>
              <a:cs typeface="+mn-cs"/>
            </a:rPr>
            <a:t>Bureaux/Offices</a:t>
          </a:r>
        </a:p>
      </dsp:txBody>
      <dsp:txXfrm>
        <a:off x="2433729" y="2757984"/>
        <a:ext cx="1011391" cy="3106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2024-02-16T01:02:00Z</dcterms:created>
  <dcterms:modified xsi:type="dcterms:W3CDTF">2024-02-16T01:10:00Z</dcterms:modified>
</cp:coreProperties>
</file>