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B4E1" w14:textId="6C5375F3" w:rsidR="00852680" w:rsidRPr="00852680" w:rsidRDefault="00852680" w:rsidP="00852680">
      <w:pPr>
        <w:keepNext/>
        <w:keepLines/>
        <w:spacing w:before="240" w:after="0" w:line="240" w:lineRule="auto"/>
        <w:jc w:val="both"/>
        <w:outlineLvl w:val="0"/>
        <w:rPr>
          <w:rFonts w:ascii="Calibri Light" w:eastAsia="Times New Roman" w:hAnsi="Calibri Light" w:cs="Times New Roman"/>
          <w:color w:val="2F5496"/>
          <w:kern w:val="0"/>
          <w:sz w:val="32"/>
          <w:szCs w:val="32"/>
          <w:lang w:val="es-ES"/>
          <w14:ligatures w14:val="none"/>
        </w:rPr>
      </w:pPr>
      <w:r w:rsidRPr="00852680">
        <w:rPr>
          <w:rFonts w:ascii="Calibri Light" w:eastAsia="Times New Roman" w:hAnsi="Calibri Light" w:cs="Times New Roman"/>
          <w:color w:val="2F5496"/>
          <w:kern w:val="0"/>
          <w:sz w:val="32"/>
          <w:szCs w:val="32"/>
          <w:lang w:val="es-ES"/>
          <w14:ligatures w14:val="none"/>
        </w:rPr>
        <w:t>Términos de Referen</w:t>
      </w:r>
      <w:r w:rsidR="0080387B">
        <w:rPr>
          <w:rFonts w:ascii="Calibri Light" w:eastAsia="Times New Roman" w:hAnsi="Calibri Light" w:cs="Times New Roman"/>
          <w:color w:val="2F5496"/>
          <w:kern w:val="0"/>
          <w:sz w:val="32"/>
          <w:szCs w:val="32"/>
          <w:lang w:val="es-ES"/>
          <w14:ligatures w14:val="none"/>
        </w:rPr>
        <w:t>c</w:t>
      </w:r>
      <w:r w:rsidRPr="00852680">
        <w:rPr>
          <w:rFonts w:ascii="Calibri Light" w:eastAsia="Times New Roman" w:hAnsi="Calibri Light" w:cs="Times New Roman"/>
          <w:color w:val="2F5496"/>
          <w:kern w:val="0"/>
          <w:sz w:val="32"/>
          <w:szCs w:val="32"/>
          <w:lang w:val="es-ES"/>
          <w14:ligatures w14:val="none"/>
        </w:rPr>
        <w:t xml:space="preserve">ia de Comité de Riesgos </w:t>
      </w:r>
    </w:p>
    <w:p w14:paraId="1D05D3B6" w14:textId="77777777" w:rsidR="00852680" w:rsidRPr="00852680" w:rsidRDefault="00852680" w:rsidP="00852680">
      <w:pPr>
        <w:spacing w:after="0" w:line="240" w:lineRule="auto"/>
        <w:rPr>
          <w:rFonts w:ascii="Calibri" w:eastAsia="Calibri" w:hAnsi="Calibri" w:cs="Arial"/>
          <w:kern w:val="0"/>
          <w:sz w:val="24"/>
          <w:szCs w:val="24"/>
          <w:lang w:val="es-ES"/>
          <w14:ligatures w14:val="none"/>
        </w:rPr>
      </w:pPr>
    </w:p>
    <w:p w14:paraId="0397BAE6" w14:textId="77777777" w:rsidR="00852680" w:rsidRPr="00852680" w:rsidRDefault="00852680" w:rsidP="00852680">
      <w:pPr>
        <w:keepNext/>
        <w:keepLines/>
        <w:spacing w:before="40" w:after="0" w:line="240" w:lineRule="auto"/>
        <w:outlineLvl w:val="2"/>
        <w:rPr>
          <w:rFonts w:ascii="Calibri Light" w:eastAsia="Times New Roman" w:hAnsi="Calibri Light" w:cs="Times New Roman"/>
          <w:color w:val="1F3763"/>
          <w:kern w:val="0"/>
          <w:sz w:val="24"/>
          <w:szCs w:val="24"/>
          <w:lang w:val="es-ES"/>
          <w14:ligatures w14:val="none"/>
        </w:rPr>
      </w:pPr>
      <w:bookmarkStart w:id="0" w:name="_Toc135745185"/>
      <w:r w:rsidRPr="00852680">
        <w:rPr>
          <w:rFonts w:ascii="Calibri Light" w:eastAsia="Times New Roman" w:hAnsi="Calibri Light" w:cs="Times New Roman"/>
          <w:color w:val="1F3763"/>
          <w:kern w:val="0"/>
          <w:sz w:val="24"/>
          <w:szCs w:val="24"/>
          <w:lang w:val="es-ES"/>
          <w14:ligatures w14:val="none"/>
        </w:rPr>
        <w:t>Antecedentes</w:t>
      </w:r>
      <w:bookmarkEnd w:id="0"/>
      <w:r w:rsidRPr="00852680">
        <w:rPr>
          <w:rFonts w:ascii="Calibri Light" w:eastAsia="Times New Roman" w:hAnsi="Calibri Light" w:cs="Times New Roman"/>
          <w:color w:val="1F3763"/>
          <w:kern w:val="0"/>
          <w:sz w:val="24"/>
          <w:szCs w:val="24"/>
          <w:lang w:val="es-ES"/>
          <w14:ligatures w14:val="none"/>
        </w:rPr>
        <w:t xml:space="preserve">  </w:t>
      </w:r>
    </w:p>
    <w:p w14:paraId="6EE9AB7F" w14:textId="77777777" w:rsidR="00852680" w:rsidRPr="00852680" w:rsidRDefault="00852680" w:rsidP="00852680">
      <w:pPr>
        <w:spacing w:after="0" w:line="240" w:lineRule="auto"/>
        <w:jc w:val="both"/>
        <w:rPr>
          <w:rFonts w:ascii="Calibri" w:eastAsia="Calibri" w:hAnsi="Calibri" w:cs="Arial"/>
          <w:kern w:val="0"/>
          <w:sz w:val="24"/>
          <w:szCs w:val="24"/>
          <w:lang w:val="es-ES"/>
          <w14:ligatures w14:val="none"/>
        </w:rPr>
      </w:pPr>
      <w:r w:rsidRPr="00852680">
        <w:rPr>
          <w:rFonts w:ascii="Calibri" w:eastAsia="Calibri" w:hAnsi="Calibri" w:cs="Arial"/>
          <w:kern w:val="0"/>
          <w:sz w:val="24"/>
          <w:szCs w:val="24"/>
          <w:lang w:val="es-ES"/>
          <w14:ligatures w14:val="none"/>
        </w:rPr>
        <w:t xml:space="preserve">La gestión del riesgo institucional (ERM), incluido el aspecto estratégico de la gestión de incidentes y crisis (ICM), son partes integrantes del riesgo y disciplinas de una gestión eficaz para obtener resultados en materia de desarrollo. A medida que el PNUD avanza hacia programas que implican un mayor nivel de asesoramiento político y un cambio transformador en todo el sistema, la consecución de resultados programáticos dependerá cada vez más de factores que escapan total o parcialmente a nuestro control. Esto incluye riesgos que debemos sortear y gestionar en cooperación con los asociados y otras partes interesadas. Aprovechar las oportunidades prometedoras exige a menudo que la organización asuma riesgos calculados. Ser ágiles, receptivos y proactivos es fundamental para lograr resultados. </w:t>
      </w:r>
    </w:p>
    <w:p w14:paraId="15650BD8" w14:textId="77777777" w:rsidR="00852680" w:rsidRPr="00852680" w:rsidRDefault="00852680" w:rsidP="00852680">
      <w:pPr>
        <w:spacing w:after="0" w:line="240" w:lineRule="auto"/>
        <w:jc w:val="both"/>
        <w:rPr>
          <w:rFonts w:ascii="Calibri" w:eastAsia="Calibri" w:hAnsi="Calibri" w:cs="Arial"/>
          <w:kern w:val="0"/>
          <w:sz w:val="24"/>
          <w:szCs w:val="24"/>
          <w:lang w:val="es-ES"/>
          <w14:ligatures w14:val="none"/>
        </w:rPr>
      </w:pPr>
      <w:r w:rsidRPr="00852680">
        <w:rPr>
          <w:rFonts w:ascii="Calibri" w:eastAsia="Calibri" w:hAnsi="Calibri" w:cs="Arial"/>
          <w:kern w:val="0"/>
          <w:sz w:val="24"/>
          <w:szCs w:val="24"/>
          <w:lang w:val="es-ES"/>
          <w14:ligatures w14:val="none"/>
        </w:rPr>
        <w:t xml:space="preserve">La Política de ERM del PNUD guiará la conducta y la aplicación de la ERM y define las funciones y responsabilidades. A nivel institucional, el Administrador Asociado preside un Comité de Riesgos encargado de supervisar la aplicación general y el uso del marco en el PNUD. El Comité de Riesgos es un subcomité del Grupo de Expertos y le informa sobre el marco cada dos años. </w:t>
      </w:r>
    </w:p>
    <w:p w14:paraId="608415BD" w14:textId="77777777" w:rsidR="00852680" w:rsidRPr="00852680" w:rsidRDefault="00852680" w:rsidP="00852680">
      <w:pPr>
        <w:spacing w:after="0" w:line="240" w:lineRule="auto"/>
        <w:rPr>
          <w:rFonts w:ascii="Calibri" w:eastAsia="Calibri" w:hAnsi="Calibri" w:cs="Arial"/>
          <w:kern w:val="0"/>
          <w:sz w:val="24"/>
          <w:szCs w:val="24"/>
          <w:lang w:val="es-ES"/>
          <w14:ligatures w14:val="none"/>
        </w:rPr>
      </w:pPr>
    </w:p>
    <w:p w14:paraId="4642DD4F" w14:textId="77777777" w:rsidR="00852680" w:rsidRPr="00852680" w:rsidRDefault="00852680" w:rsidP="00852680">
      <w:pPr>
        <w:keepNext/>
        <w:keepLines/>
        <w:spacing w:before="40" w:after="0" w:line="240" w:lineRule="auto"/>
        <w:outlineLvl w:val="2"/>
        <w:rPr>
          <w:rFonts w:ascii="Calibri Light" w:eastAsia="Times New Roman" w:hAnsi="Calibri Light" w:cs="Times New Roman"/>
          <w:color w:val="1F3763"/>
          <w:kern w:val="0"/>
          <w:sz w:val="24"/>
          <w:szCs w:val="24"/>
          <w:lang w:val="es-ES"/>
          <w14:ligatures w14:val="none"/>
        </w:rPr>
      </w:pPr>
      <w:bookmarkStart w:id="1" w:name="_Toc124522934"/>
      <w:bookmarkStart w:id="2" w:name="_Toc135745186"/>
      <w:r w:rsidRPr="00852680">
        <w:rPr>
          <w:rFonts w:ascii="Calibri Light" w:eastAsia="Times New Roman" w:hAnsi="Calibri Light" w:cs="Times New Roman"/>
          <w:color w:val="1F3763"/>
          <w:kern w:val="0"/>
          <w:sz w:val="24"/>
          <w:szCs w:val="24"/>
          <w:lang w:val="es-ES"/>
          <w14:ligatures w14:val="none"/>
        </w:rPr>
        <w:t>Deberes y Responsibili</w:t>
      </w:r>
      <w:bookmarkEnd w:id="1"/>
      <w:r w:rsidRPr="00852680">
        <w:rPr>
          <w:rFonts w:ascii="Calibri Light" w:eastAsia="Times New Roman" w:hAnsi="Calibri Light" w:cs="Times New Roman"/>
          <w:color w:val="1F3763"/>
          <w:kern w:val="0"/>
          <w:sz w:val="24"/>
          <w:szCs w:val="24"/>
          <w:lang w:val="es-ES"/>
          <w14:ligatures w14:val="none"/>
        </w:rPr>
        <w:t>dades</w:t>
      </w:r>
      <w:bookmarkEnd w:id="2"/>
      <w:r w:rsidRPr="00852680">
        <w:rPr>
          <w:rFonts w:ascii="Calibri Light" w:eastAsia="Times New Roman" w:hAnsi="Calibri Light" w:cs="Times New Roman"/>
          <w:color w:val="1F3763"/>
          <w:kern w:val="0"/>
          <w:sz w:val="24"/>
          <w:szCs w:val="24"/>
          <w:lang w:val="es-ES"/>
          <w14:ligatures w14:val="none"/>
        </w:rPr>
        <w:t xml:space="preserve"> </w:t>
      </w:r>
    </w:p>
    <w:p w14:paraId="0E30FDE3" w14:textId="77777777" w:rsidR="00852680" w:rsidRPr="00852680" w:rsidRDefault="00852680" w:rsidP="00852680">
      <w:pPr>
        <w:autoSpaceDE w:val="0"/>
        <w:autoSpaceDN w:val="0"/>
        <w:adjustRightInd w:val="0"/>
        <w:spacing w:after="120" w:line="276"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 xml:space="preserve">En consonancia con las políticas pertinentes, el Comité de Riesgos es responsable de: </w:t>
      </w:r>
    </w:p>
    <w:p w14:paraId="0888AD4F" w14:textId="77777777" w:rsidR="00852680" w:rsidRPr="00852680" w:rsidRDefault="00852680" w:rsidP="00852680">
      <w:pPr>
        <w:numPr>
          <w:ilvl w:val="0"/>
          <w:numId w:val="1"/>
        </w:numPr>
        <w:autoSpaceDE w:val="0"/>
        <w:autoSpaceDN w:val="0"/>
        <w:adjustRightInd w:val="0"/>
        <w:spacing w:after="120" w:line="276" w:lineRule="auto"/>
        <w:ind w:left="360"/>
        <w:jc w:val="both"/>
        <w:rPr>
          <w:rFonts w:ascii="Calibri" w:eastAsia="Times New Roman" w:hAnsi="Calibri" w:cs="Arial"/>
          <w:b/>
          <w:bCs/>
          <w:i/>
          <w:iCs/>
          <w:kern w:val="0"/>
          <w:lang w:val="es-ES"/>
          <w14:ligatures w14:val="none"/>
        </w:rPr>
      </w:pPr>
      <w:r w:rsidRPr="00852680">
        <w:rPr>
          <w:rFonts w:ascii="Calibri" w:eastAsia="Times New Roman" w:hAnsi="Calibri" w:cs="Arial"/>
          <w:b/>
          <w:bCs/>
          <w:i/>
          <w:iCs/>
          <w:kern w:val="0"/>
          <w:lang w:val="es-ES"/>
          <w14:ligatures w14:val="none"/>
        </w:rPr>
        <w:t>Revisar y analizar los riesgos corporativos</w:t>
      </w:r>
    </w:p>
    <w:p w14:paraId="7E6D59E1" w14:textId="77777777" w:rsidR="00852680" w:rsidRPr="00852680" w:rsidRDefault="00852680" w:rsidP="00852680">
      <w:pPr>
        <w:autoSpaceDE w:val="0"/>
        <w:autoSpaceDN w:val="0"/>
        <w:adjustRightInd w:val="0"/>
        <w:spacing w:after="120" w:line="276"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 xml:space="preserve">En virtud de esta responsabilidad, el Comité examinará y deliberará sobre las estrategias de gestión de riesgos y, en caso necesario, propondrá modificaciones o revisará las estrategias. El Comité se centrará en los riesgos corporativos estratégicos que se le planteen, dejando la discusión de los riesgos operativos en otros foros respectivos. (por ejemplo, el OPG, el SMG, el ET y el Consejo de Crisis).  </w:t>
      </w:r>
    </w:p>
    <w:p w14:paraId="441E170E" w14:textId="77777777" w:rsidR="00852680" w:rsidRPr="00852680" w:rsidRDefault="00852680" w:rsidP="00852680">
      <w:pPr>
        <w:numPr>
          <w:ilvl w:val="0"/>
          <w:numId w:val="2"/>
        </w:numPr>
        <w:autoSpaceDE w:val="0"/>
        <w:autoSpaceDN w:val="0"/>
        <w:adjustRightInd w:val="0"/>
        <w:spacing w:after="120" w:line="276"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Riesgos identificados corporativamente;</w:t>
      </w:r>
    </w:p>
    <w:p w14:paraId="516759EA" w14:textId="77777777" w:rsidR="00852680" w:rsidRPr="00852680" w:rsidRDefault="00852680" w:rsidP="00852680">
      <w:pPr>
        <w:autoSpaceDE w:val="0"/>
        <w:autoSpaceDN w:val="0"/>
        <w:adjustRightInd w:val="0"/>
        <w:spacing w:after="120" w:line="276" w:lineRule="auto"/>
        <w:ind w:left="360"/>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El presidente y los miembros del Comité pueden poner sobre la mesa los riesgos identificados que deban elevarse al Comité a través de los distintos mecanismos corporativos, por ejemplo:</w:t>
      </w:r>
    </w:p>
    <w:p w14:paraId="04F13A15" w14:textId="77777777" w:rsidR="00852680" w:rsidRPr="00852680" w:rsidRDefault="00852680" w:rsidP="00852680">
      <w:pPr>
        <w:numPr>
          <w:ilvl w:val="0"/>
          <w:numId w:val="3"/>
        </w:numPr>
        <w:autoSpaceDE w:val="0"/>
        <w:autoSpaceDN w:val="0"/>
        <w:adjustRightInd w:val="0"/>
        <w:spacing w:after="0" w:line="276"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 xml:space="preserve">El Grupo de Desempeño Organizativo (OPG por sus siglas en </w:t>
      </w:r>
      <w:proofErr w:type="gramStart"/>
      <w:r w:rsidRPr="00852680">
        <w:rPr>
          <w:rFonts w:ascii="Calibri" w:eastAsia="Times New Roman" w:hAnsi="Calibri" w:cs="Arial"/>
          <w:kern w:val="0"/>
          <w:lang w:val="es-ES"/>
          <w14:ligatures w14:val="none"/>
        </w:rPr>
        <w:t>inglés )</w:t>
      </w:r>
      <w:proofErr w:type="gramEnd"/>
      <w:r w:rsidRPr="00852680">
        <w:rPr>
          <w:rFonts w:ascii="Calibri" w:eastAsia="Times New Roman" w:hAnsi="Calibri" w:cs="Arial"/>
          <w:kern w:val="0"/>
          <w:lang w:val="es-ES"/>
          <w14:ligatures w14:val="none"/>
        </w:rPr>
        <w:t>, para los riesgos institucionales significativos relacionados con el desempeño organizativo, incluidas las principales prioridades de los riesgos de auditoría;;</w:t>
      </w:r>
    </w:p>
    <w:p w14:paraId="354DE377" w14:textId="77777777" w:rsidR="00852680" w:rsidRPr="00852680" w:rsidRDefault="00852680" w:rsidP="00852680">
      <w:pPr>
        <w:numPr>
          <w:ilvl w:val="0"/>
          <w:numId w:val="3"/>
        </w:numPr>
        <w:autoSpaceDE w:val="0"/>
        <w:autoSpaceDN w:val="0"/>
        <w:adjustRightInd w:val="0"/>
        <w:spacing w:after="0" w:line="276"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 xml:space="preserve">El </w:t>
      </w:r>
      <w:r w:rsidRPr="00852680">
        <w:rPr>
          <w:rFonts w:ascii="Calibri" w:eastAsia="Times New Roman" w:hAnsi="Calibri" w:cs="Arial"/>
          <w:i/>
          <w:iCs/>
          <w:kern w:val="0"/>
          <w:lang w:val="es-ES"/>
          <w14:ligatures w14:val="none"/>
        </w:rPr>
        <w:t>Equipo Ejecutivo</w:t>
      </w:r>
      <w:r w:rsidRPr="00852680">
        <w:rPr>
          <w:rFonts w:ascii="Calibri" w:eastAsia="Times New Roman" w:hAnsi="Calibri" w:cs="Arial"/>
          <w:kern w:val="0"/>
          <w:lang w:val="es-ES"/>
          <w14:ligatures w14:val="none"/>
        </w:rPr>
        <w:t>, para los riesgos relacionados con el contexto y los entornos en los que opera la oficina de un país específico;</w:t>
      </w:r>
    </w:p>
    <w:p w14:paraId="081C09AD" w14:textId="77777777" w:rsidR="00852680" w:rsidRPr="00852680" w:rsidRDefault="00852680" w:rsidP="00852680">
      <w:pPr>
        <w:numPr>
          <w:ilvl w:val="0"/>
          <w:numId w:val="3"/>
        </w:numPr>
        <w:autoSpaceDE w:val="0"/>
        <w:autoSpaceDN w:val="0"/>
        <w:adjustRightInd w:val="0"/>
        <w:spacing w:after="0" w:line="276"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 xml:space="preserve">La </w:t>
      </w:r>
      <w:r w:rsidRPr="00852680">
        <w:rPr>
          <w:rFonts w:ascii="Calibri" w:eastAsia="Times New Roman" w:hAnsi="Calibri" w:cs="Arial"/>
          <w:i/>
          <w:iCs/>
          <w:kern w:val="0"/>
          <w:lang w:val="es-ES"/>
          <w14:ligatures w14:val="none"/>
        </w:rPr>
        <w:t>Junta de Crisis</w:t>
      </w:r>
      <w:r w:rsidRPr="00852680">
        <w:rPr>
          <w:rFonts w:ascii="Calibri" w:eastAsia="Times New Roman" w:hAnsi="Calibri" w:cs="Arial"/>
          <w:kern w:val="0"/>
          <w:lang w:val="es-ES"/>
          <w14:ligatures w14:val="none"/>
        </w:rPr>
        <w:t>, para los riesgos relacionados con un programa nacional concreto en crisis;</w:t>
      </w:r>
    </w:p>
    <w:p w14:paraId="36ABE33A" w14:textId="77777777" w:rsidR="00852680" w:rsidRPr="00852680" w:rsidRDefault="00852680" w:rsidP="00852680">
      <w:pPr>
        <w:numPr>
          <w:ilvl w:val="0"/>
          <w:numId w:val="3"/>
        </w:numPr>
        <w:autoSpaceDE w:val="0"/>
        <w:autoSpaceDN w:val="0"/>
        <w:adjustRightInd w:val="0"/>
        <w:spacing w:after="0" w:line="276"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 xml:space="preserve">El </w:t>
      </w:r>
      <w:r w:rsidRPr="00852680">
        <w:rPr>
          <w:rFonts w:ascii="Calibri" w:eastAsia="Times New Roman" w:hAnsi="Calibri" w:cs="Arial"/>
          <w:i/>
          <w:iCs/>
          <w:kern w:val="0"/>
          <w:lang w:val="es-ES"/>
          <w14:ligatures w14:val="none"/>
        </w:rPr>
        <w:t>Grupo de Gestión de Seguridad</w:t>
      </w:r>
      <w:r w:rsidRPr="00852680">
        <w:rPr>
          <w:rFonts w:ascii="Calibri" w:eastAsia="Times New Roman" w:hAnsi="Calibri" w:cs="Arial"/>
          <w:kern w:val="0"/>
          <w:lang w:val="es-ES"/>
          <w14:ligatures w14:val="none"/>
        </w:rPr>
        <w:t xml:space="preserve"> para los riesgos relacionados con la seguridad del personal y la continuidad de las actividades en la sede central.</w:t>
      </w:r>
    </w:p>
    <w:p w14:paraId="7B38F671" w14:textId="77777777" w:rsidR="00852680" w:rsidRPr="00852680" w:rsidRDefault="00852680" w:rsidP="00852680">
      <w:pPr>
        <w:numPr>
          <w:ilvl w:val="0"/>
          <w:numId w:val="3"/>
        </w:numPr>
        <w:autoSpaceDE w:val="0"/>
        <w:autoSpaceDN w:val="0"/>
        <w:adjustRightInd w:val="0"/>
        <w:spacing w:after="0" w:line="276"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 Otros mecanismos corporativos, según proceda.</w:t>
      </w:r>
    </w:p>
    <w:p w14:paraId="53534D1A" w14:textId="77777777" w:rsidR="00852680" w:rsidRPr="00852680" w:rsidRDefault="00852680" w:rsidP="00852680">
      <w:pPr>
        <w:autoSpaceDE w:val="0"/>
        <w:autoSpaceDN w:val="0"/>
        <w:adjustRightInd w:val="0"/>
        <w:spacing w:after="0" w:line="276" w:lineRule="auto"/>
        <w:ind w:left="360"/>
        <w:jc w:val="both"/>
        <w:rPr>
          <w:rFonts w:ascii="Calibri" w:eastAsia="Times New Roman" w:hAnsi="Calibri" w:cs="Arial"/>
          <w:kern w:val="0"/>
          <w:lang w:val="es-ES"/>
          <w14:ligatures w14:val="none"/>
        </w:rPr>
      </w:pPr>
    </w:p>
    <w:p w14:paraId="3DC1C89F" w14:textId="77777777" w:rsidR="00852680" w:rsidRPr="00852680" w:rsidRDefault="00852680" w:rsidP="00852680">
      <w:pPr>
        <w:numPr>
          <w:ilvl w:val="0"/>
          <w:numId w:val="2"/>
        </w:numPr>
        <w:autoSpaceDE w:val="0"/>
        <w:autoSpaceDN w:val="0"/>
        <w:adjustRightInd w:val="0"/>
        <w:spacing w:after="120" w:line="276"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A</w:t>
      </w:r>
      <w:r w:rsidRPr="00852680">
        <w:rPr>
          <w:rFonts w:ascii="Calibri" w:eastAsia="Times New Roman" w:hAnsi="Calibri" w:cs="Calibri"/>
          <w:color w:val="000000"/>
          <w:kern w:val="0"/>
          <w:sz w:val="24"/>
          <w:szCs w:val="24"/>
          <w:lang w:val="es-ES"/>
          <w14:ligatures w14:val="none"/>
        </w:rPr>
        <w:t xml:space="preserve"> </w:t>
      </w:r>
      <w:r w:rsidRPr="00852680">
        <w:rPr>
          <w:rFonts w:ascii="Calibri" w:eastAsia="Times New Roman" w:hAnsi="Calibri" w:cs="Arial"/>
          <w:kern w:val="0"/>
          <w:lang w:val="es-ES"/>
          <w14:ligatures w14:val="none"/>
        </w:rPr>
        <w:t xml:space="preserve">Análisis del Registro de Riesgos agregado; </w:t>
      </w:r>
    </w:p>
    <w:p w14:paraId="4E3A3DFF" w14:textId="77777777" w:rsidR="00852680" w:rsidRPr="00852680" w:rsidRDefault="00852680" w:rsidP="00852680">
      <w:pPr>
        <w:autoSpaceDE w:val="0"/>
        <w:autoSpaceDN w:val="0"/>
        <w:adjustRightInd w:val="0"/>
        <w:spacing w:after="120" w:line="276"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lastRenderedPageBreak/>
        <w:t xml:space="preserve">Cada dos años, debe presentarse al Comité un análisis de todos los riesgos consignados en los registros de riesgos agregados, a fin de detectar posibles riesgos emergentes y/o riesgos de importancia cada vez mayor que puedan requerir un tratamiento a nivel corporativo. Este análisis, cuando proceda, podría incluir la comparación entre los riesgos registrados en el sistema y los riesgos materializados en el periodo de referencia. </w:t>
      </w:r>
    </w:p>
    <w:p w14:paraId="2B694F5B" w14:textId="77777777" w:rsidR="00852680" w:rsidRPr="00852680" w:rsidRDefault="00852680" w:rsidP="00852680">
      <w:pPr>
        <w:numPr>
          <w:ilvl w:val="0"/>
          <w:numId w:val="2"/>
        </w:numPr>
        <w:autoSpaceDE w:val="0"/>
        <w:autoSpaceDN w:val="0"/>
        <w:adjustRightInd w:val="0"/>
        <w:spacing w:after="120" w:line="276" w:lineRule="auto"/>
        <w:jc w:val="both"/>
        <w:rPr>
          <w:rFonts w:ascii="Calibri" w:eastAsia="Times New Roman" w:hAnsi="Calibri" w:cs="Arial"/>
          <w:kern w:val="0"/>
          <w:lang w:val="en-GB"/>
          <w14:ligatures w14:val="none"/>
        </w:rPr>
      </w:pPr>
      <w:r w:rsidRPr="00852680">
        <w:rPr>
          <w:rFonts w:ascii="Calibri" w:eastAsia="Times New Roman" w:hAnsi="Calibri" w:cs="Arial"/>
          <w:kern w:val="0"/>
          <w:lang w:val="en-GB"/>
          <w14:ligatures w14:val="none"/>
        </w:rPr>
        <w:t>Escalated risks from bureau and units</w:t>
      </w:r>
    </w:p>
    <w:p w14:paraId="0216293C" w14:textId="2B66973B" w:rsidR="00852680" w:rsidRPr="00852680" w:rsidRDefault="00852680" w:rsidP="00852680">
      <w:pPr>
        <w:autoSpaceDE w:val="0"/>
        <w:autoSpaceDN w:val="0"/>
        <w:adjustRightInd w:val="0"/>
        <w:spacing w:after="120" w:line="276"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 xml:space="preserve">En línea con los procedimientos para la escalada de riesgos, todos los riesgos que se escalen a nivel corporativo serán deliberados en la reunión del Comité para la toma de decisiones y puntos de acción. </w:t>
      </w:r>
    </w:p>
    <w:p w14:paraId="273887BD" w14:textId="77777777" w:rsidR="00852680" w:rsidRPr="00852680" w:rsidRDefault="00852680" w:rsidP="00852680">
      <w:pPr>
        <w:numPr>
          <w:ilvl w:val="0"/>
          <w:numId w:val="1"/>
        </w:numPr>
        <w:autoSpaceDE w:val="0"/>
        <w:autoSpaceDN w:val="0"/>
        <w:adjustRightInd w:val="0"/>
        <w:spacing w:after="120" w:line="276" w:lineRule="auto"/>
        <w:ind w:left="360"/>
        <w:jc w:val="both"/>
        <w:rPr>
          <w:rFonts w:ascii="Calibri" w:eastAsia="Times New Roman" w:hAnsi="Calibri" w:cs="Arial"/>
          <w:b/>
          <w:bCs/>
          <w:i/>
          <w:iCs/>
          <w:kern w:val="0"/>
          <w:lang w:val="es-ES"/>
          <w14:ligatures w14:val="none"/>
        </w:rPr>
      </w:pPr>
      <w:r w:rsidRPr="00852680">
        <w:rPr>
          <w:rFonts w:ascii="Calibri" w:eastAsia="Times New Roman" w:hAnsi="Calibri" w:cs="Arial"/>
          <w:b/>
          <w:bCs/>
          <w:i/>
          <w:iCs/>
          <w:kern w:val="0"/>
          <w:lang w:val="es-ES"/>
          <w14:ligatures w14:val="none"/>
        </w:rPr>
        <w:t>Mantenimiento del marco general de riesgos y resistencia</w:t>
      </w:r>
    </w:p>
    <w:p w14:paraId="3EBC2632" w14:textId="77777777" w:rsidR="00852680" w:rsidRPr="00852680" w:rsidRDefault="00852680" w:rsidP="00852680">
      <w:pPr>
        <w:autoSpaceDE w:val="0"/>
        <w:autoSpaceDN w:val="0"/>
        <w:adjustRightInd w:val="0"/>
        <w:spacing w:after="120" w:line="276" w:lineRule="auto"/>
        <w:jc w:val="both"/>
        <w:rPr>
          <w:rFonts w:ascii="Calibri" w:eastAsia="Times New Roman" w:hAnsi="Calibri" w:cs="Arial"/>
          <w:kern w:val="0"/>
          <w:lang w:val="es-ES"/>
          <w14:ligatures w14:val="none"/>
        </w:rPr>
      </w:pPr>
      <w:bookmarkStart w:id="3" w:name="_Hlk514504003"/>
      <w:r w:rsidRPr="00852680">
        <w:rPr>
          <w:rFonts w:ascii="Calibri" w:eastAsia="Times New Roman" w:hAnsi="Calibri" w:cs="Arial"/>
          <w:kern w:val="0"/>
          <w:lang w:val="es-ES"/>
          <w14:ligatures w14:val="none"/>
        </w:rPr>
        <w:t>Bajo esta responsabilidad, el Comité revisará las Políticas y Procedimientos relacionados con la Gestión de Riesgos Empresariales, incluyendo los aspectos estratégicos de la Gestión de Continuidad de Negocio (BCM), la Gestión de Incidentes y Crisis (ICM), y las Reservas de Riesgo.</w:t>
      </w:r>
    </w:p>
    <w:p w14:paraId="5312100C" w14:textId="77777777" w:rsidR="00852680" w:rsidRPr="00852680" w:rsidRDefault="00852680" w:rsidP="00852680">
      <w:pPr>
        <w:autoSpaceDE w:val="0"/>
        <w:autoSpaceDN w:val="0"/>
        <w:adjustRightInd w:val="0"/>
        <w:spacing w:after="120" w:line="276" w:lineRule="auto"/>
        <w:jc w:val="both"/>
        <w:rPr>
          <w:rFonts w:ascii="Calibri" w:eastAsia="Times New Roman" w:hAnsi="Calibri" w:cs="Arial"/>
          <w:kern w:val="0"/>
          <w:lang w:val="en-GB"/>
          <w14:ligatures w14:val="none"/>
        </w:rPr>
      </w:pPr>
      <w:r w:rsidRPr="00852680">
        <w:rPr>
          <w:rFonts w:ascii="Calibri" w:eastAsia="Times New Roman" w:hAnsi="Calibri" w:cs="Arial"/>
          <w:kern w:val="0"/>
          <w:lang w:val="en-GB"/>
          <w14:ligatures w14:val="none"/>
        </w:rPr>
        <w:t xml:space="preserve">As part of this function, the Committee should also </w:t>
      </w:r>
      <w:proofErr w:type="gramStart"/>
      <w:r w:rsidRPr="00852680">
        <w:rPr>
          <w:rFonts w:ascii="Calibri" w:eastAsia="Times New Roman" w:hAnsi="Calibri" w:cs="Arial"/>
          <w:kern w:val="0"/>
          <w:lang w:val="en-GB"/>
          <w14:ligatures w14:val="none"/>
        </w:rPr>
        <w:t>look into</w:t>
      </w:r>
      <w:proofErr w:type="gramEnd"/>
      <w:r w:rsidRPr="00852680">
        <w:rPr>
          <w:rFonts w:ascii="Calibri" w:eastAsia="Times New Roman" w:hAnsi="Calibri" w:cs="Arial"/>
          <w:kern w:val="0"/>
          <w:lang w:val="en-GB"/>
          <w14:ligatures w14:val="none"/>
        </w:rPr>
        <w:t xml:space="preserve"> the overall knowledge management aspect of risks, including capturing, reviewing lessons learnt and best practices to be applied and/or disseminated across the organization. </w:t>
      </w:r>
    </w:p>
    <w:p w14:paraId="76FE8BED" w14:textId="77777777" w:rsidR="00852680" w:rsidRPr="00852680" w:rsidRDefault="00852680" w:rsidP="00852680">
      <w:pPr>
        <w:autoSpaceDE w:val="0"/>
        <w:autoSpaceDN w:val="0"/>
        <w:adjustRightInd w:val="0"/>
        <w:spacing w:after="120" w:line="276"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 xml:space="preserve">En el desempeño de esta función, el Comité puede solicitar al Grupo de Desempeño Organizativo (OPG) que haga aportaciones y comentarios antes de proponer las políticas pertinentes al Grupo Ejecutivo (EG) para su aprobación. </w:t>
      </w:r>
    </w:p>
    <w:p w14:paraId="1E4AEEB2" w14:textId="77777777" w:rsidR="00852680" w:rsidRPr="00852680" w:rsidRDefault="00852680" w:rsidP="00852680">
      <w:pPr>
        <w:autoSpaceDE w:val="0"/>
        <w:autoSpaceDN w:val="0"/>
        <w:adjustRightInd w:val="0"/>
        <w:spacing w:after="120" w:line="276" w:lineRule="auto"/>
        <w:jc w:val="both"/>
        <w:rPr>
          <w:rFonts w:ascii="Calibri" w:eastAsia="Times New Roman" w:hAnsi="Calibri" w:cs="Arial"/>
          <w:kern w:val="0"/>
          <w:lang w:val="en-GB"/>
          <w14:ligatures w14:val="none"/>
        </w:rPr>
      </w:pPr>
      <w:r w:rsidRPr="00852680">
        <w:rPr>
          <w:rFonts w:ascii="Calibri" w:eastAsia="Times New Roman" w:hAnsi="Calibri" w:cs="Arial"/>
          <w:kern w:val="0"/>
          <w:lang w:val="es-ES"/>
          <w14:ligatures w14:val="none"/>
        </w:rPr>
        <w:t xml:space="preserve">El Comité de Riesgos también examina y recomienda al Grupo Ejecutivo, para su aprobación, la Declaración sobre la propensión al riesgo del PNUD. </w:t>
      </w:r>
      <w:r w:rsidRPr="00852680">
        <w:rPr>
          <w:rFonts w:ascii="Calibri" w:eastAsia="Times New Roman" w:hAnsi="Calibri" w:cs="Arial"/>
          <w:kern w:val="0"/>
          <w:lang w:val="en-GB"/>
          <w14:ligatures w14:val="none"/>
        </w:rPr>
        <w:t>La declaración debe revisarse y actualizarse según sea necesario.</w:t>
      </w:r>
      <w:bookmarkStart w:id="4" w:name="_Toc114076471"/>
    </w:p>
    <w:bookmarkEnd w:id="3"/>
    <w:bookmarkEnd w:id="4"/>
    <w:p w14:paraId="3BB3F636" w14:textId="77777777" w:rsidR="00852680" w:rsidRPr="00852680" w:rsidRDefault="00852680" w:rsidP="00852680">
      <w:pPr>
        <w:numPr>
          <w:ilvl w:val="0"/>
          <w:numId w:val="1"/>
        </w:numPr>
        <w:autoSpaceDE w:val="0"/>
        <w:autoSpaceDN w:val="0"/>
        <w:adjustRightInd w:val="0"/>
        <w:spacing w:after="120" w:line="276" w:lineRule="auto"/>
        <w:ind w:left="360"/>
        <w:jc w:val="both"/>
        <w:rPr>
          <w:rFonts w:ascii="Calibri" w:eastAsia="Times New Roman" w:hAnsi="Calibri" w:cs="Arial"/>
          <w:b/>
          <w:bCs/>
          <w:i/>
          <w:iCs/>
          <w:kern w:val="0"/>
          <w:lang w:val="es-ES"/>
          <w14:ligatures w14:val="none"/>
        </w:rPr>
      </w:pPr>
      <w:r w:rsidRPr="00852680">
        <w:rPr>
          <w:rFonts w:ascii="Calibri" w:eastAsia="Times New Roman" w:hAnsi="Calibri" w:cs="Arial"/>
          <w:b/>
          <w:bCs/>
          <w:i/>
          <w:iCs/>
          <w:kern w:val="0"/>
          <w:lang w:val="es-ES"/>
          <w14:ligatures w14:val="none"/>
        </w:rPr>
        <w:t>Comité Corporativo de Validación (CVC)</w:t>
      </w:r>
    </w:p>
    <w:p w14:paraId="01F93D67" w14:textId="77777777" w:rsidR="00852680" w:rsidRPr="00852680" w:rsidRDefault="00852680" w:rsidP="00852680">
      <w:pPr>
        <w:spacing w:before="120" w:after="0" w:line="240" w:lineRule="auto"/>
        <w:jc w:val="both"/>
        <w:rPr>
          <w:rFonts w:ascii="Calibri" w:eastAsia="Calibri" w:hAnsi="Calibri" w:cs="Calibri"/>
          <w:kern w:val="0"/>
          <w:lang w:val="es-ES"/>
          <w14:ligatures w14:val="none"/>
        </w:rPr>
      </w:pPr>
      <w:r w:rsidRPr="00852680">
        <w:rPr>
          <w:rFonts w:ascii="Calibri" w:eastAsia="Calibri" w:hAnsi="Calibri" w:cs="Calibri"/>
          <w:kern w:val="0"/>
          <w:lang w:val="es-ES"/>
          <w14:ligatures w14:val="none"/>
        </w:rPr>
        <w:t>El Comité de Riesgos del PNUD también actúa como Comité de Examen Corporativo. Se podrá invitar a expertos y otros representantes pertinentes, según sea necesario, para apoyar las deliberaciones del comité. El CVC es responsable de asesorar al Oficial Superior Designado (SDO) sobre lo siguiente:</w:t>
      </w:r>
    </w:p>
    <w:p w14:paraId="51B54C58" w14:textId="77777777" w:rsidR="00852680" w:rsidRPr="00852680" w:rsidRDefault="00852680" w:rsidP="00852680">
      <w:pPr>
        <w:spacing w:after="0" w:line="240" w:lineRule="auto"/>
        <w:jc w:val="both"/>
        <w:rPr>
          <w:rFonts w:ascii="Calibri" w:eastAsia="Calibri" w:hAnsi="Calibri" w:cs="Calibri"/>
          <w:kern w:val="0"/>
          <w:lang w:val="es-ES"/>
          <w14:ligatures w14:val="none"/>
        </w:rPr>
      </w:pPr>
    </w:p>
    <w:p w14:paraId="333EA117" w14:textId="77777777" w:rsidR="00852680" w:rsidRPr="00852680" w:rsidRDefault="00852680" w:rsidP="00852680">
      <w:pPr>
        <w:numPr>
          <w:ilvl w:val="0"/>
          <w:numId w:val="5"/>
        </w:numPr>
        <w:spacing w:after="0" w:line="240"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Toma de decisiones con respecto a asuntos de ALD/CFT, incluyendo:</w:t>
      </w:r>
    </w:p>
    <w:p w14:paraId="04B6C707" w14:textId="77777777" w:rsidR="00852680" w:rsidRPr="00852680" w:rsidRDefault="00852680" w:rsidP="00852680">
      <w:pPr>
        <w:numPr>
          <w:ilvl w:val="0"/>
          <w:numId w:val="6"/>
        </w:numPr>
        <w:spacing w:after="0" w:line="240"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Relaciones comerciales con contrapartes de alto riesgo;</w:t>
      </w:r>
    </w:p>
    <w:p w14:paraId="72FDF895" w14:textId="77777777" w:rsidR="00852680" w:rsidRPr="00852680" w:rsidRDefault="00852680" w:rsidP="00852680">
      <w:pPr>
        <w:numPr>
          <w:ilvl w:val="0"/>
          <w:numId w:val="6"/>
        </w:numPr>
        <w:spacing w:after="0" w:line="240"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Relaciones con contrapartes que deben abandonarse, prohibirse y/o añadirse a la “</w:t>
      </w:r>
      <w:hyperlink r:id="rId7" w:history="1">
        <w:r w:rsidRPr="00852680">
          <w:rPr>
            <w:rFonts w:ascii="Calibri" w:eastAsia="Times New Roman" w:hAnsi="Calibri" w:cs="Arial"/>
            <w:color w:val="0000FF"/>
            <w:kern w:val="0"/>
            <w:u w:val="single"/>
            <w:shd w:val="clear" w:color="auto" w:fill="F3F2F1"/>
            <w:lang w:val="es-ES"/>
            <w14:ligatures w14:val="none"/>
          </w:rPr>
          <w:t>Lista de exclusión interna</w:t>
        </w:r>
      </w:hyperlink>
      <w:r w:rsidRPr="00852680">
        <w:rPr>
          <w:rFonts w:ascii="Calibri" w:eastAsia="Times New Roman" w:hAnsi="Calibri" w:cs="Arial"/>
          <w:kern w:val="0"/>
          <w:lang w:val="es-ES"/>
          <w14:ligatures w14:val="none"/>
        </w:rPr>
        <w:t xml:space="preserve">”; </w:t>
      </w:r>
    </w:p>
    <w:p w14:paraId="1436704E" w14:textId="77777777" w:rsidR="00852680" w:rsidRPr="00852680" w:rsidRDefault="00852680" w:rsidP="00852680">
      <w:pPr>
        <w:numPr>
          <w:ilvl w:val="0"/>
          <w:numId w:val="6"/>
        </w:numPr>
        <w:spacing w:after="0" w:line="240" w:lineRule="auto"/>
        <w:jc w:val="both"/>
        <w:rPr>
          <w:rFonts w:ascii="Calibri" w:eastAsia="Times New Roman" w:hAnsi="Calibri" w:cs="Arial"/>
          <w:kern w:val="0"/>
          <w:lang w:val="en-GB"/>
          <w14:ligatures w14:val="none"/>
        </w:rPr>
      </w:pPr>
      <w:r w:rsidRPr="00852680">
        <w:rPr>
          <w:rFonts w:ascii="Calibri" w:eastAsia="Times New Roman" w:hAnsi="Calibri" w:cs="Arial"/>
          <w:kern w:val="0"/>
          <w:lang w:val="en-GB"/>
          <w14:ligatures w14:val="none"/>
        </w:rPr>
        <w:t>Counterparties to be added to the “</w:t>
      </w:r>
      <w:hyperlink r:id="rId8" w:history="1">
        <w:r w:rsidRPr="00852680">
          <w:rPr>
            <w:rFonts w:ascii="Calibri" w:eastAsia="Times New Roman" w:hAnsi="Calibri" w:cs="Arial"/>
            <w:color w:val="0000FF"/>
            <w:kern w:val="0"/>
            <w:u w:val="single"/>
            <w:shd w:val="clear" w:color="auto" w:fill="F3F2F1"/>
            <w:lang w:val="en-GB"/>
            <w14:ligatures w14:val="none"/>
          </w:rPr>
          <w:t>Lista de Dispensas</w:t>
        </w:r>
      </w:hyperlink>
      <w:r w:rsidRPr="00852680">
        <w:rPr>
          <w:rFonts w:ascii="Calibri" w:eastAsia="Times New Roman" w:hAnsi="Calibri" w:cs="Arial"/>
          <w:kern w:val="0"/>
          <w:lang w:val="en-GB"/>
          <w14:ligatures w14:val="none"/>
        </w:rPr>
        <w:t>”; y</w:t>
      </w:r>
    </w:p>
    <w:p w14:paraId="077F23B3" w14:textId="77777777" w:rsidR="00852680" w:rsidRPr="00852680" w:rsidRDefault="00852680" w:rsidP="00852680">
      <w:pPr>
        <w:numPr>
          <w:ilvl w:val="0"/>
          <w:numId w:val="6"/>
        </w:numPr>
        <w:spacing w:after="0" w:line="240"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Cualquier otro asunto relacionado que requiera consideración y toma de decisiones a nivel superior según lo considere oportuno la SDO.</w:t>
      </w:r>
    </w:p>
    <w:p w14:paraId="338948D1" w14:textId="77777777" w:rsidR="00852680" w:rsidRPr="00852680" w:rsidRDefault="00852680" w:rsidP="00852680">
      <w:pPr>
        <w:numPr>
          <w:ilvl w:val="0"/>
          <w:numId w:val="5"/>
        </w:numPr>
        <w:spacing w:after="0" w:line="240"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Aplicación y perfeccionamiento (según proceda) de la política, los procesos, las herramientas y los programas piloto en materia de PBC/FT.</w:t>
      </w:r>
    </w:p>
    <w:p w14:paraId="34BB5C02" w14:textId="77777777" w:rsidR="00852680" w:rsidRPr="00852680" w:rsidRDefault="00852680" w:rsidP="00852680">
      <w:pPr>
        <w:keepNext/>
        <w:keepLines/>
        <w:spacing w:before="40" w:after="0" w:line="240" w:lineRule="auto"/>
        <w:outlineLvl w:val="2"/>
        <w:rPr>
          <w:rFonts w:ascii="Calibri Light" w:eastAsia="Times New Roman" w:hAnsi="Calibri Light" w:cs="Times New Roman"/>
          <w:kern w:val="0"/>
          <w:lang w:val="es-ES"/>
          <w14:ligatures w14:val="none"/>
        </w:rPr>
      </w:pPr>
    </w:p>
    <w:p w14:paraId="12C589A7" w14:textId="77777777" w:rsidR="00852680" w:rsidRPr="00852680" w:rsidRDefault="00852680" w:rsidP="00852680">
      <w:pPr>
        <w:keepNext/>
        <w:keepLines/>
        <w:spacing w:before="40" w:after="0" w:line="240" w:lineRule="auto"/>
        <w:outlineLvl w:val="2"/>
        <w:rPr>
          <w:rFonts w:ascii="Calibri Light" w:eastAsia="Times New Roman" w:hAnsi="Calibri Light" w:cs="Times New Roman"/>
          <w:color w:val="2F5496"/>
          <w:kern w:val="0"/>
          <w:sz w:val="24"/>
          <w:szCs w:val="24"/>
          <w:lang w:val="es-ES"/>
          <w14:ligatures w14:val="none"/>
        </w:rPr>
      </w:pPr>
      <w:bookmarkStart w:id="5" w:name="_Toc124522935"/>
      <w:bookmarkStart w:id="6" w:name="_Toc135745187"/>
      <w:r w:rsidRPr="00852680">
        <w:rPr>
          <w:rFonts w:ascii="Calibri Light" w:eastAsia="Times New Roman" w:hAnsi="Calibri Light" w:cs="Times New Roman"/>
          <w:color w:val="2F5496"/>
          <w:kern w:val="0"/>
          <w:sz w:val="24"/>
          <w:szCs w:val="24"/>
          <w:lang w:val="es-ES"/>
          <w14:ligatures w14:val="none"/>
        </w:rPr>
        <w:t>Disposiciones de gestión</w:t>
      </w:r>
      <w:bookmarkEnd w:id="5"/>
      <w:bookmarkEnd w:id="6"/>
      <w:r w:rsidRPr="00852680">
        <w:rPr>
          <w:rFonts w:ascii="Calibri Light" w:eastAsia="Times New Roman" w:hAnsi="Calibri Light" w:cs="Times New Roman"/>
          <w:color w:val="2F5496"/>
          <w:kern w:val="0"/>
          <w:sz w:val="24"/>
          <w:szCs w:val="24"/>
          <w:lang w:val="es-ES"/>
          <w14:ligatures w14:val="none"/>
        </w:rPr>
        <w:t xml:space="preserve"> </w:t>
      </w:r>
    </w:p>
    <w:p w14:paraId="3F3E85BD" w14:textId="77777777" w:rsidR="00852680" w:rsidRPr="00852680" w:rsidRDefault="00852680" w:rsidP="00852680">
      <w:pPr>
        <w:autoSpaceDE w:val="0"/>
        <w:autoSpaceDN w:val="0"/>
        <w:adjustRightInd w:val="0"/>
        <w:spacing w:after="120" w:line="276" w:lineRule="auto"/>
        <w:jc w:val="both"/>
        <w:rPr>
          <w:rFonts w:ascii="Calibri" w:eastAsia="Times New Roman" w:hAnsi="Calibri" w:cs="Arial"/>
          <w:kern w:val="0"/>
          <w:lang w:val="en-GB"/>
          <w14:ligatures w14:val="none"/>
        </w:rPr>
      </w:pPr>
      <w:r w:rsidRPr="00852680">
        <w:rPr>
          <w:rFonts w:ascii="Calibri" w:eastAsia="Times New Roman" w:hAnsi="Calibri" w:cs="Arial"/>
          <w:kern w:val="0"/>
          <w:lang w:val="es-ES"/>
          <w14:ligatures w14:val="none"/>
        </w:rPr>
        <w:t xml:space="preserve">El Comité es un subcomité del Grupo Ejecutivo (GE) y sirve de plataforma principal para identificar, evaluar, desarrollar el tratamiento y supervisar los riesgos a nivel corporativo. </w:t>
      </w:r>
      <w:r w:rsidRPr="00852680">
        <w:rPr>
          <w:rFonts w:ascii="Calibri" w:eastAsia="Times New Roman" w:hAnsi="Calibri" w:cs="Arial"/>
          <w:kern w:val="0"/>
          <w:lang w:val="en-GB"/>
          <w14:ligatures w14:val="none"/>
        </w:rPr>
        <w:t xml:space="preserve">El Comité informa al Grupo Ejecutivo cada dos años. </w:t>
      </w:r>
    </w:p>
    <w:p w14:paraId="5C9D74BB" w14:textId="77777777" w:rsidR="00852680" w:rsidRPr="00852680" w:rsidRDefault="00852680" w:rsidP="00852680">
      <w:pPr>
        <w:numPr>
          <w:ilvl w:val="0"/>
          <w:numId w:val="4"/>
        </w:numPr>
        <w:autoSpaceDE w:val="0"/>
        <w:autoSpaceDN w:val="0"/>
        <w:adjustRightInd w:val="0"/>
        <w:spacing w:after="120" w:line="276" w:lineRule="auto"/>
        <w:ind w:left="360"/>
        <w:jc w:val="both"/>
        <w:rPr>
          <w:rFonts w:ascii="Calibri" w:eastAsia="Times New Roman" w:hAnsi="Calibri" w:cs="Arial"/>
          <w:b/>
          <w:bCs/>
          <w:i/>
          <w:iCs/>
          <w:kern w:val="0"/>
          <w:lang w:val="es-ES"/>
          <w14:ligatures w14:val="none"/>
        </w:rPr>
      </w:pPr>
      <w:r w:rsidRPr="00852680">
        <w:rPr>
          <w:rFonts w:ascii="Calibri" w:eastAsia="Times New Roman" w:hAnsi="Calibri" w:cs="Arial"/>
          <w:b/>
          <w:bCs/>
          <w:i/>
          <w:iCs/>
          <w:kern w:val="0"/>
          <w:lang w:val="es-ES"/>
          <w14:ligatures w14:val="none"/>
        </w:rPr>
        <w:lastRenderedPageBreak/>
        <w:t>Membresía del Comité</w:t>
      </w:r>
    </w:p>
    <w:p w14:paraId="1F94184E" w14:textId="77777777" w:rsidR="00852680" w:rsidRPr="00852680" w:rsidRDefault="00852680" w:rsidP="00852680">
      <w:pPr>
        <w:autoSpaceDE w:val="0"/>
        <w:autoSpaceDN w:val="0"/>
        <w:adjustRightInd w:val="0"/>
        <w:spacing w:after="120" w:line="276"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 xml:space="preserve">La composición del Comité de Riesgos incluirá una representación adecuada de la perspectiva corporativa en las cinco categorías de consecuencias de los riesgos (es decir, Financieros y de recursos; Seguridad y protección; Ejecución programática; Eficacia institucional; y Reputación). A este respecto, la composición permanente del Comité es la siguiente: </w:t>
      </w:r>
    </w:p>
    <w:p w14:paraId="0F75312B" w14:textId="77777777" w:rsidR="00852680" w:rsidRPr="00852680" w:rsidRDefault="00852680" w:rsidP="00852680">
      <w:pPr>
        <w:autoSpaceDE w:val="0"/>
        <w:autoSpaceDN w:val="0"/>
        <w:adjustRightInd w:val="0"/>
        <w:spacing w:after="120" w:line="276"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 xml:space="preserve">El Administrador Asociado como presidente; </w:t>
      </w:r>
    </w:p>
    <w:p w14:paraId="1DEC0761" w14:textId="77777777" w:rsidR="00852680" w:rsidRPr="00852680" w:rsidRDefault="00852680" w:rsidP="00852680">
      <w:pPr>
        <w:numPr>
          <w:ilvl w:val="0"/>
          <w:numId w:val="7"/>
        </w:numPr>
        <w:autoSpaceDE w:val="0"/>
        <w:autoSpaceDN w:val="0"/>
        <w:adjustRightInd w:val="0"/>
        <w:spacing w:after="120" w:line="240"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La Oficina Ejecutiva;</w:t>
      </w:r>
    </w:p>
    <w:p w14:paraId="02E3D608" w14:textId="77777777" w:rsidR="00852680" w:rsidRPr="00852680" w:rsidRDefault="00852680" w:rsidP="00852680">
      <w:pPr>
        <w:numPr>
          <w:ilvl w:val="0"/>
          <w:numId w:val="7"/>
        </w:numPr>
        <w:autoSpaceDE w:val="0"/>
        <w:autoSpaceDN w:val="0"/>
        <w:adjustRightInd w:val="0"/>
        <w:spacing w:after="120" w:line="240"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 xml:space="preserve">Los </w:t>
      </w:r>
      <w:proofErr w:type="gramStart"/>
      <w:r w:rsidRPr="00852680">
        <w:rPr>
          <w:rFonts w:ascii="Calibri" w:eastAsia="Times New Roman" w:hAnsi="Calibri" w:cs="Arial"/>
          <w:kern w:val="0"/>
          <w:lang w:val="es-ES"/>
          <w14:ligatures w14:val="none"/>
        </w:rPr>
        <w:t>Directores</w:t>
      </w:r>
      <w:proofErr w:type="gramEnd"/>
      <w:r w:rsidRPr="00852680">
        <w:rPr>
          <w:rFonts w:ascii="Calibri" w:eastAsia="Times New Roman" w:hAnsi="Calibri" w:cs="Arial"/>
          <w:kern w:val="0"/>
          <w:lang w:val="es-ES"/>
          <w14:ligatures w14:val="none"/>
        </w:rPr>
        <w:t xml:space="preserve"> de todas las Oficinas Regionales </w:t>
      </w:r>
    </w:p>
    <w:p w14:paraId="79969073" w14:textId="77777777" w:rsidR="00852680" w:rsidRPr="00852680" w:rsidRDefault="00852680" w:rsidP="00852680">
      <w:pPr>
        <w:numPr>
          <w:ilvl w:val="0"/>
          <w:numId w:val="7"/>
        </w:numPr>
        <w:autoSpaceDE w:val="0"/>
        <w:autoSpaceDN w:val="0"/>
        <w:adjustRightInd w:val="0"/>
        <w:spacing w:after="120" w:line="240"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Director de la Oficina de Servicios de Gestión</w:t>
      </w:r>
    </w:p>
    <w:p w14:paraId="203077AE" w14:textId="77777777" w:rsidR="00852680" w:rsidRPr="00852680" w:rsidRDefault="00852680" w:rsidP="00852680">
      <w:pPr>
        <w:numPr>
          <w:ilvl w:val="0"/>
          <w:numId w:val="7"/>
        </w:numPr>
        <w:autoSpaceDE w:val="0"/>
        <w:autoSpaceDN w:val="0"/>
        <w:adjustRightInd w:val="0"/>
        <w:spacing w:after="120" w:line="240"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Director de BERA</w:t>
      </w:r>
    </w:p>
    <w:p w14:paraId="7E6C07FA" w14:textId="77777777" w:rsidR="00852680" w:rsidRPr="00852680" w:rsidRDefault="00852680" w:rsidP="00852680">
      <w:pPr>
        <w:numPr>
          <w:ilvl w:val="0"/>
          <w:numId w:val="7"/>
        </w:numPr>
        <w:autoSpaceDE w:val="0"/>
        <w:autoSpaceDN w:val="0"/>
        <w:adjustRightInd w:val="0"/>
        <w:spacing w:after="120" w:line="240"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Director de BPPS</w:t>
      </w:r>
    </w:p>
    <w:p w14:paraId="117B03C0" w14:textId="77777777" w:rsidR="00852680" w:rsidRPr="00852680" w:rsidRDefault="00852680" w:rsidP="00852680">
      <w:pPr>
        <w:numPr>
          <w:ilvl w:val="0"/>
          <w:numId w:val="7"/>
        </w:numPr>
        <w:autoSpaceDE w:val="0"/>
        <w:autoSpaceDN w:val="0"/>
        <w:adjustRightInd w:val="0"/>
        <w:spacing w:after="120" w:line="240"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Director de CRU</w:t>
      </w:r>
    </w:p>
    <w:p w14:paraId="374B8F07" w14:textId="77777777" w:rsidR="00852680" w:rsidRPr="00852680" w:rsidRDefault="00852680" w:rsidP="00852680">
      <w:pPr>
        <w:numPr>
          <w:ilvl w:val="0"/>
          <w:numId w:val="7"/>
        </w:numPr>
        <w:autoSpaceDE w:val="0"/>
        <w:autoSpaceDN w:val="0"/>
        <w:adjustRightInd w:val="0"/>
        <w:spacing w:after="120" w:line="240"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Director, Finanzas;</w:t>
      </w:r>
    </w:p>
    <w:p w14:paraId="68BAD4CF" w14:textId="77777777" w:rsidR="00852680" w:rsidRPr="00852680" w:rsidRDefault="00852680" w:rsidP="00852680">
      <w:pPr>
        <w:numPr>
          <w:ilvl w:val="0"/>
          <w:numId w:val="7"/>
        </w:numPr>
        <w:autoSpaceDE w:val="0"/>
        <w:autoSpaceDN w:val="0"/>
        <w:adjustRightInd w:val="0"/>
        <w:spacing w:after="120" w:line="276"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Director de la Oficina de Seguridad;</w:t>
      </w:r>
    </w:p>
    <w:p w14:paraId="6282FE29" w14:textId="77777777" w:rsidR="00852680" w:rsidRPr="00852680" w:rsidRDefault="00852680" w:rsidP="00852680">
      <w:pPr>
        <w:autoSpaceDE w:val="0"/>
        <w:autoSpaceDN w:val="0"/>
        <w:adjustRightInd w:val="0"/>
        <w:spacing w:after="120" w:line="276"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Los miembros del Comité son insustituibles. En caso de que un miembro del Comité no esté disponible para asistir a una reunión del Comité de Riesgos, la participación no podrá ser:</w:t>
      </w:r>
    </w:p>
    <w:p w14:paraId="565D597D" w14:textId="77777777" w:rsidR="00852680" w:rsidRPr="00852680" w:rsidRDefault="00852680" w:rsidP="00852680">
      <w:pPr>
        <w:numPr>
          <w:ilvl w:val="1"/>
          <w:numId w:val="8"/>
        </w:numPr>
        <w:autoSpaceDE w:val="0"/>
        <w:autoSpaceDN w:val="0"/>
        <w:adjustRightInd w:val="0"/>
        <w:spacing w:after="120" w:line="240"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Propietario de riesgo de entradas de riesgo corporativas específicas;</w:t>
      </w:r>
    </w:p>
    <w:p w14:paraId="563EEE25" w14:textId="77777777" w:rsidR="00852680" w:rsidRPr="00852680" w:rsidRDefault="00852680" w:rsidP="00852680">
      <w:pPr>
        <w:numPr>
          <w:ilvl w:val="1"/>
          <w:numId w:val="8"/>
        </w:numPr>
        <w:autoSpaceDE w:val="0"/>
        <w:autoSpaceDN w:val="0"/>
        <w:adjustRightInd w:val="0"/>
        <w:spacing w:after="120" w:line="240"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 xml:space="preserve">Jefe de línea de una oficina/unidad específica; </w:t>
      </w:r>
    </w:p>
    <w:p w14:paraId="4742E432" w14:textId="77777777" w:rsidR="00852680" w:rsidRPr="00852680" w:rsidRDefault="00852680" w:rsidP="00852680">
      <w:pPr>
        <w:numPr>
          <w:ilvl w:val="1"/>
          <w:numId w:val="8"/>
        </w:numPr>
        <w:autoSpaceDE w:val="0"/>
        <w:autoSpaceDN w:val="0"/>
        <w:adjustRightInd w:val="0"/>
        <w:spacing w:after="120" w:line="240"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Gestores de fondos verticales;</w:t>
      </w:r>
    </w:p>
    <w:p w14:paraId="6C393B70" w14:textId="77777777" w:rsidR="00852680" w:rsidRPr="00852680" w:rsidRDefault="00852680" w:rsidP="00852680">
      <w:pPr>
        <w:numPr>
          <w:ilvl w:val="1"/>
          <w:numId w:val="8"/>
        </w:numPr>
        <w:autoSpaceDE w:val="0"/>
        <w:autoSpaceDN w:val="0"/>
        <w:adjustRightInd w:val="0"/>
        <w:spacing w:after="120" w:line="240"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Directores adjuntos de oficina;</w:t>
      </w:r>
    </w:p>
    <w:p w14:paraId="6AAA1964" w14:textId="77777777" w:rsidR="00852680" w:rsidRPr="00852680" w:rsidRDefault="00852680" w:rsidP="00852680">
      <w:pPr>
        <w:numPr>
          <w:ilvl w:val="1"/>
          <w:numId w:val="8"/>
        </w:numPr>
        <w:autoSpaceDE w:val="0"/>
        <w:autoSpaceDN w:val="0"/>
        <w:adjustRightInd w:val="0"/>
        <w:spacing w:after="120" w:line="240"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Expertos o especialistas en temas concretos;</w:t>
      </w:r>
    </w:p>
    <w:p w14:paraId="1A9D0C23" w14:textId="77777777" w:rsidR="00852680" w:rsidRPr="00852680" w:rsidRDefault="00852680" w:rsidP="00852680">
      <w:pPr>
        <w:numPr>
          <w:ilvl w:val="1"/>
          <w:numId w:val="8"/>
        </w:numPr>
        <w:autoSpaceDE w:val="0"/>
        <w:autoSpaceDN w:val="0"/>
        <w:adjustRightInd w:val="0"/>
        <w:spacing w:after="120" w:line="240"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Otro personal, según sea necesario.</w:t>
      </w:r>
    </w:p>
    <w:p w14:paraId="15E76964" w14:textId="77777777" w:rsidR="00852680" w:rsidRPr="00852680" w:rsidRDefault="00852680" w:rsidP="00852680">
      <w:pPr>
        <w:autoSpaceDE w:val="0"/>
        <w:autoSpaceDN w:val="0"/>
        <w:adjustRightInd w:val="0"/>
        <w:spacing w:after="120" w:line="240" w:lineRule="auto"/>
        <w:ind w:left="360"/>
        <w:jc w:val="both"/>
        <w:rPr>
          <w:rFonts w:ascii="Calibri" w:eastAsia="Times New Roman" w:hAnsi="Calibri" w:cs="Arial"/>
          <w:kern w:val="0"/>
          <w:lang w:val="es-ES"/>
          <w14:ligatures w14:val="none"/>
        </w:rPr>
      </w:pPr>
    </w:p>
    <w:p w14:paraId="69C2F086" w14:textId="77777777" w:rsidR="00852680" w:rsidRPr="00852680" w:rsidRDefault="00852680" w:rsidP="00852680">
      <w:pPr>
        <w:numPr>
          <w:ilvl w:val="0"/>
          <w:numId w:val="4"/>
        </w:numPr>
        <w:autoSpaceDE w:val="0"/>
        <w:autoSpaceDN w:val="0"/>
        <w:adjustRightInd w:val="0"/>
        <w:spacing w:after="120" w:line="276" w:lineRule="auto"/>
        <w:ind w:left="360"/>
        <w:jc w:val="both"/>
        <w:rPr>
          <w:rFonts w:ascii="Calibri" w:eastAsia="Times New Roman" w:hAnsi="Calibri" w:cs="Arial"/>
          <w:b/>
          <w:bCs/>
          <w:i/>
          <w:iCs/>
          <w:kern w:val="0"/>
          <w:lang w:val="es-ES"/>
          <w14:ligatures w14:val="none"/>
        </w:rPr>
      </w:pPr>
      <w:r w:rsidRPr="00852680">
        <w:rPr>
          <w:rFonts w:ascii="Calibri" w:eastAsia="Times New Roman" w:hAnsi="Calibri" w:cs="Arial"/>
          <w:b/>
          <w:bCs/>
          <w:i/>
          <w:iCs/>
          <w:kern w:val="0"/>
          <w:lang w:val="es-ES"/>
          <w14:ligatures w14:val="none"/>
        </w:rPr>
        <w:t>Relación con otras estructuras corporativas de toma de decisiones</w:t>
      </w:r>
    </w:p>
    <w:p w14:paraId="769244A7" w14:textId="77777777" w:rsidR="00852680" w:rsidRPr="00852680" w:rsidRDefault="00852680" w:rsidP="00852680">
      <w:pPr>
        <w:autoSpaceDE w:val="0"/>
        <w:autoSpaceDN w:val="0"/>
        <w:adjustRightInd w:val="0"/>
        <w:spacing w:after="120" w:line="276" w:lineRule="auto"/>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El Comité de Riesgos es un subcomité del Grupo Ejecutivo. Presenta informes al Grupo Ejecutivo semestralmente o cuando es necesario. La relación con otras estructuras decisorias de la empresa puede describirse del siguiente modo:</w:t>
      </w:r>
    </w:p>
    <w:p w14:paraId="6460C429" w14:textId="77777777" w:rsidR="00852680" w:rsidRPr="00852680" w:rsidRDefault="00852680" w:rsidP="00852680">
      <w:pPr>
        <w:autoSpaceDE w:val="0"/>
        <w:autoSpaceDN w:val="0"/>
        <w:adjustRightInd w:val="0"/>
        <w:spacing w:after="0" w:line="276" w:lineRule="auto"/>
        <w:ind w:left="360"/>
        <w:jc w:val="both"/>
        <w:rPr>
          <w:rFonts w:ascii="Myriad Pro" w:eastAsia="Times New Roman" w:hAnsi="Myriad Pro" w:cs="Calibri"/>
          <w:color w:val="000000"/>
          <w:kern w:val="0"/>
          <w:sz w:val="24"/>
          <w:szCs w:val="24"/>
          <w:lang w:val="es-ES"/>
          <w14:ligatures w14:val="none"/>
        </w:rPr>
      </w:pPr>
      <w:r w:rsidRPr="00852680">
        <w:rPr>
          <w:rFonts w:ascii="Myriad Pro" w:eastAsia="Times New Roman" w:hAnsi="Myriad Pro" w:cs="Calibri"/>
          <w:noProof/>
          <w:color w:val="000000"/>
          <w:kern w:val="0"/>
          <w:sz w:val="24"/>
          <w:szCs w:val="24"/>
          <w:lang w:val="es-ES"/>
          <w14:ligatures w14:val="none"/>
        </w:rPr>
        <w:lastRenderedPageBreak/>
        <w:drawing>
          <wp:inline distT="0" distB="0" distL="0" distR="0" wp14:anchorId="6F21AA90" wp14:editId="79994128">
            <wp:extent cx="4019266" cy="3206750"/>
            <wp:effectExtent l="0" t="171450" r="0" b="508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F523EB8" w14:textId="77777777" w:rsidR="00852680" w:rsidRPr="00852680" w:rsidRDefault="00852680" w:rsidP="00852680">
      <w:pPr>
        <w:autoSpaceDE w:val="0"/>
        <w:autoSpaceDN w:val="0"/>
        <w:adjustRightInd w:val="0"/>
        <w:spacing w:after="0" w:line="276" w:lineRule="auto"/>
        <w:ind w:left="357"/>
        <w:jc w:val="both"/>
        <w:rPr>
          <w:rFonts w:ascii="Calibri" w:eastAsia="Times New Roman" w:hAnsi="Calibri" w:cs="Arial"/>
          <w:kern w:val="0"/>
          <w:sz w:val="24"/>
          <w:szCs w:val="24"/>
          <w:lang w:val="es-ES"/>
          <w14:ligatures w14:val="none"/>
        </w:rPr>
      </w:pPr>
    </w:p>
    <w:p w14:paraId="413D1347" w14:textId="77777777" w:rsidR="00852680" w:rsidRPr="00852680" w:rsidRDefault="00852680" w:rsidP="00852680">
      <w:pPr>
        <w:autoSpaceDE w:val="0"/>
        <w:autoSpaceDN w:val="0"/>
        <w:adjustRightInd w:val="0"/>
        <w:spacing w:after="0" w:line="276" w:lineRule="auto"/>
        <w:ind w:left="357"/>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 xml:space="preserve">El Comité de Riesgos revisa, analiza y toma decisiones sobre los riesgos que se identifican a través de los diferentes mecanismos corporativos y fuentes de datos (por ejemplo, OPG, ET, SMG, Junta de Crisis, Registro de Riesgos). Las decisiones sobre el tratamiento de los riesgos deben recomendarse al mecanismo existente para su aplicación. El Comité de Riesgos supervisará el estado de la aplicación de estos tratamientos durante las reuniones periódicas del Comité de Riesgos. </w:t>
      </w:r>
    </w:p>
    <w:p w14:paraId="5F195D23" w14:textId="77777777" w:rsidR="00852680" w:rsidRPr="00852680" w:rsidRDefault="00852680" w:rsidP="00852680">
      <w:pPr>
        <w:autoSpaceDE w:val="0"/>
        <w:autoSpaceDN w:val="0"/>
        <w:adjustRightInd w:val="0"/>
        <w:spacing w:after="0" w:line="276" w:lineRule="auto"/>
        <w:ind w:left="360"/>
        <w:jc w:val="both"/>
        <w:rPr>
          <w:rFonts w:ascii="Myriad Pro" w:eastAsia="Times New Roman" w:hAnsi="Myriad Pro" w:cs="Calibri"/>
          <w:color w:val="920000"/>
          <w:kern w:val="0"/>
          <w:lang w:val="es-ES"/>
          <w14:ligatures w14:val="none"/>
        </w:rPr>
      </w:pPr>
    </w:p>
    <w:p w14:paraId="6B16F974" w14:textId="77777777" w:rsidR="00852680" w:rsidRPr="00852680" w:rsidRDefault="00852680" w:rsidP="00852680">
      <w:pPr>
        <w:numPr>
          <w:ilvl w:val="0"/>
          <w:numId w:val="4"/>
        </w:numPr>
        <w:autoSpaceDE w:val="0"/>
        <w:autoSpaceDN w:val="0"/>
        <w:adjustRightInd w:val="0"/>
        <w:spacing w:after="0" w:line="276" w:lineRule="auto"/>
        <w:jc w:val="both"/>
        <w:rPr>
          <w:rFonts w:ascii="Calibri" w:eastAsia="Times New Roman" w:hAnsi="Calibri" w:cs="Arial"/>
          <w:b/>
          <w:bCs/>
          <w:i/>
          <w:iCs/>
          <w:kern w:val="0"/>
          <w:lang w:val="es-ES"/>
          <w14:ligatures w14:val="none"/>
        </w:rPr>
      </w:pPr>
      <w:r w:rsidRPr="00852680">
        <w:rPr>
          <w:rFonts w:ascii="Calibri" w:eastAsia="Times New Roman" w:hAnsi="Calibri" w:cs="Arial"/>
          <w:b/>
          <w:bCs/>
          <w:i/>
          <w:iCs/>
          <w:kern w:val="0"/>
          <w:lang w:val="es-ES"/>
          <w14:ligatures w14:val="none"/>
        </w:rPr>
        <w:t xml:space="preserve">Reuniones del Comité de Riesgos </w:t>
      </w:r>
    </w:p>
    <w:p w14:paraId="6B6CCD00" w14:textId="77777777" w:rsidR="00852680" w:rsidRPr="00852680" w:rsidRDefault="00852680" w:rsidP="00852680">
      <w:pPr>
        <w:autoSpaceDE w:val="0"/>
        <w:autoSpaceDN w:val="0"/>
        <w:adjustRightInd w:val="0"/>
        <w:spacing w:after="0" w:line="276" w:lineRule="auto"/>
        <w:ind w:left="360"/>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El Comité de Riesgos se reunirá dos veces al año, preferiblemente durante la semana en que esté prevista la reunión del Grupo de Expertos, pero antes de que ésta tenga lugar. Con carácter ad hoc, el presidente del Comité de Riesgos también puede convocar una reunión del Comité para deliberar de inmediato sobre cualquier cuestión de riesgo urgente. El orden del día permanente de la reunión del Comité es el siguiente:</w:t>
      </w:r>
    </w:p>
    <w:p w14:paraId="48016E90" w14:textId="77777777" w:rsidR="00852680" w:rsidRPr="00852680" w:rsidRDefault="00852680" w:rsidP="00852680">
      <w:pPr>
        <w:numPr>
          <w:ilvl w:val="1"/>
          <w:numId w:val="9"/>
        </w:numPr>
        <w:autoSpaceDE w:val="0"/>
        <w:autoSpaceDN w:val="0"/>
        <w:adjustRightInd w:val="0"/>
        <w:spacing w:after="0" w:line="276" w:lineRule="auto"/>
        <w:ind w:left="993"/>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Revisión de la eficacia de la aplicación de la ERM (incluidas las políticas, los procedimientos, el aprendizaje y otras herramientas);</w:t>
      </w:r>
    </w:p>
    <w:p w14:paraId="79FB6400" w14:textId="77777777" w:rsidR="00852680" w:rsidRPr="00852680" w:rsidRDefault="00852680" w:rsidP="00852680">
      <w:pPr>
        <w:numPr>
          <w:ilvl w:val="1"/>
          <w:numId w:val="9"/>
        </w:numPr>
        <w:autoSpaceDE w:val="0"/>
        <w:autoSpaceDN w:val="0"/>
        <w:adjustRightInd w:val="0"/>
        <w:spacing w:after="0" w:line="276" w:lineRule="auto"/>
        <w:ind w:left="993"/>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Revisión de las decisiones y mecanismos del Equipo Ejecutivo;</w:t>
      </w:r>
    </w:p>
    <w:p w14:paraId="3C383E19" w14:textId="77777777" w:rsidR="00852680" w:rsidRPr="00852680" w:rsidRDefault="00852680" w:rsidP="00852680">
      <w:pPr>
        <w:numPr>
          <w:ilvl w:val="1"/>
          <w:numId w:val="9"/>
        </w:numPr>
        <w:autoSpaceDE w:val="0"/>
        <w:autoSpaceDN w:val="0"/>
        <w:adjustRightInd w:val="0"/>
        <w:spacing w:after="0" w:line="276" w:lineRule="auto"/>
        <w:ind w:left="993"/>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 xml:space="preserve">Revisar y gestionar los riesgos corporativos, incluido el análisis de las tendencias emergentes y los riesgos que afectan a la organización (incluida la revisión del Registro de Riesgos corporativo agregado y los KRI); </w:t>
      </w:r>
    </w:p>
    <w:p w14:paraId="54B326B6" w14:textId="77777777" w:rsidR="00852680" w:rsidRPr="00852680" w:rsidRDefault="00852680" w:rsidP="00852680">
      <w:pPr>
        <w:numPr>
          <w:ilvl w:val="1"/>
          <w:numId w:val="9"/>
        </w:numPr>
        <w:autoSpaceDE w:val="0"/>
        <w:autoSpaceDN w:val="0"/>
        <w:adjustRightInd w:val="0"/>
        <w:spacing w:after="0" w:line="276" w:lineRule="auto"/>
        <w:ind w:left="993"/>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 xml:space="preserve">Revisar los riesgos de los países en crisis de nivel 3, bajo la dirección de las oficinas regionales. </w:t>
      </w:r>
    </w:p>
    <w:p w14:paraId="77E107F4" w14:textId="77777777" w:rsidR="00852680" w:rsidRPr="00852680" w:rsidRDefault="00852680" w:rsidP="00852680">
      <w:pPr>
        <w:numPr>
          <w:ilvl w:val="1"/>
          <w:numId w:val="9"/>
        </w:numPr>
        <w:autoSpaceDE w:val="0"/>
        <w:autoSpaceDN w:val="0"/>
        <w:adjustRightInd w:val="0"/>
        <w:spacing w:after="0" w:line="276" w:lineRule="auto"/>
        <w:ind w:left="993"/>
        <w:jc w:val="both"/>
        <w:rPr>
          <w:rFonts w:ascii="Calibri" w:eastAsia="Times New Roman" w:hAnsi="Calibri" w:cs="Arial"/>
          <w:kern w:val="0"/>
          <w:lang w:val="en-GB"/>
          <w14:ligatures w14:val="none"/>
        </w:rPr>
      </w:pPr>
      <w:r w:rsidRPr="00852680">
        <w:rPr>
          <w:rFonts w:ascii="Calibri" w:eastAsia="Times New Roman" w:hAnsi="Calibri" w:cs="Arial"/>
          <w:kern w:val="0"/>
          <w:lang w:val="en-GB"/>
          <w14:ligatures w14:val="none"/>
        </w:rPr>
        <w:t>Cualquier otra actividad</w:t>
      </w:r>
    </w:p>
    <w:p w14:paraId="0EFB14CE" w14:textId="77777777" w:rsidR="00852680" w:rsidRPr="00852680" w:rsidRDefault="00852680" w:rsidP="00852680">
      <w:pPr>
        <w:autoSpaceDE w:val="0"/>
        <w:autoSpaceDN w:val="0"/>
        <w:adjustRightInd w:val="0"/>
        <w:spacing w:after="0" w:line="276" w:lineRule="auto"/>
        <w:ind w:left="357"/>
        <w:jc w:val="both"/>
        <w:rPr>
          <w:rFonts w:ascii="Calibri" w:eastAsia="Times New Roman" w:hAnsi="Calibri" w:cs="Arial"/>
          <w:kern w:val="0"/>
          <w:lang w:val="es-ES"/>
          <w14:ligatures w14:val="none"/>
        </w:rPr>
      </w:pPr>
    </w:p>
    <w:p w14:paraId="5159CB5F" w14:textId="77777777" w:rsidR="00852680" w:rsidRPr="00852680" w:rsidRDefault="00852680" w:rsidP="00852680">
      <w:pPr>
        <w:keepNext/>
        <w:numPr>
          <w:ilvl w:val="0"/>
          <w:numId w:val="4"/>
        </w:numPr>
        <w:autoSpaceDE w:val="0"/>
        <w:autoSpaceDN w:val="0"/>
        <w:adjustRightInd w:val="0"/>
        <w:spacing w:after="0" w:line="276" w:lineRule="auto"/>
        <w:jc w:val="both"/>
        <w:rPr>
          <w:rFonts w:ascii="Calibri" w:eastAsia="Times New Roman" w:hAnsi="Calibri" w:cs="Arial"/>
          <w:b/>
          <w:bCs/>
          <w:i/>
          <w:iCs/>
          <w:kern w:val="0"/>
          <w:lang w:val="es-ES"/>
          <w14:ligatures w14:val="none"/>
        </w:rPr>
      </w:pPr>
      <w:r w:rsidRPr="00852680">
        <w:rPr>
          <w:rFonts w:ascii="Calibri" w:eastAsia="Times New Roman" w:hAnsi="Calibri" w:cs="Arial"/>
          <w:b/>
          <w:bCs/>
          <w:i/>
          <w:iCs/>
          <w:kern w:val="0"/>
          <w:lang w:val="es-ES"/>
          <w14:ligatures w14:val="none"/>
        </w:rPr>
        <w:lastRenderedPageBreak/>
        <w:t xml:space="preserve">Secretaria del Comité de Riesgos </w:t>
      </w:r>
    </w:p>
    <w:p w14:paraId="7CDBDF9D" w14:textId="77777777" w:rsidR="00852680" w:rsidRPr="00852680" w:rsidRDefault="00852680" w:rsidP="00852680">
      <w:pPr>
        <w:keepNext/>
        <w:autoSpaceDE w:val="0"/>
        <w:autoSpaceDN w:val="0"/>
        <w:adjustRightInd w:val="0"/>
        <w:spacing w:after="0" w:line="276" w:lineRule="auto"/>
        <w:ind w:left="357"/>
        <w:jc w:val="both"/>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El Comité de Riesgos cuenta con el apoyo de una secretaría (especialistas en gestión de riesgos) para asistir al presidente y a los miembros del Comité en la gestión eficaz y eficiente de sus reuniones. Esto incluye:</w:t>
      </w:r>
    </w:p>
    <w:p w14:paraId="1A1E7DA7" w14:textId="77777777" w:rsidR="00852680" w:rsidRPr="00852680" w:rsidRDefault="00852680" w:rsidP="00852680">
      <w:pPr>
        <w:numPr>
          <w:ilvl w:val="0"/>
          <w:numId w:val="10"/>
        </w:numPr>
        <w:shd w:val="clear" w:color="auto" w:fill="FFFFFF"/>
        <w:spacing w:after="0" w:line="240" w:lineRule="auto"/>
        <w:contextualSpacing/>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Preparar el orden del día y el material de referencia para las reuniones de los comités;</w:t>
      </w:r>
    </w:p>
    <w:p w14:paraId="1EC72DA3" w14:textId="77777777" w:rsidR="00852680" w:rsidRPr="00852680" w:rsidRDefault="00852680" w:rsidP="00852680">
      <w:pPr>
        <w:numPr>
          <w:ilvl w:val="0"/>
          <w:numId w:val="10"/>
        </w:numPr>
        <w:shd w:val="clear" w:color="auto" w:fill="FFFFFF"/>
        <w:spacing w:after="0" w:line="240" w:lineRule="auto"/>
        <w:contextualSpacing/>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Realizar el análisis de los registros de riesgos agregados;</w:t>
      </w:r>
    </w:p>
    <w:p w14:paraId="5A2E8202" w14:textId="77777777" w:rsidR="00852680" w:rsidRPr="00852680" w:rsidRDefault="00852680" w:rsidP="00852680">
      <w:pPr>
        <w:numPr>
          <w:ilvl w:val="0"/>
          <w:numId w:val="10"/>
        </w:numPr>
        <w:shd w:val="clear" w:color="auto" w:fill="FFFFFF"/>
        <w:spacing w:after="0" w:line="240" w:lineRule="auto"/>
        <w:contextualSpacing/>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 xml:space="preserve">Registrar y presentar los riesgos escalados para las deliberaciones del comité; </w:t>
      </w:r>
    </w:p>
    <w:p w14:paraId="453E5E9E" w14:textId="77777777" w:rsidR="00852680" w:rsidRPr="00852680" w:rsidRDefault="00852680" w:rsidP="00852680">
      <w:pPr>
        <w:numPr>
          <w:ilvl w:val="0"/>
          <w:numId w:val="10"/>
        </w:numPr>
        <w:shd w:val="clear" w:color="auto" w:fill="FFFFFF"/>
        <w:spacing w:after="0" w:line="240" w:lineRule="auto"/>
        <w:contextualSpacing/>
        <w:rPr>
          <w:rFonts w:ascii="Calibri" w:eastAsia="Times New Roman" w:hAnsi="Calibri" w:cs="Arial"/>
          <w:kern w:val="0"/>
          <w:lang w:val="es-ES"/>
          <w14:ligatures w14:val="none"/>
        </w:rPr>
      </w:pPr>
      <w:r w:rsidRPr="00852680">
        <w:rPr>
          <w:rFonts w:ascii="Calibri" w:eastAsia="Times New Roman" w:hAnsi="Calibri" w:cs="Arial"/>
          <w:kern w:val="0"/>
          <w:lang w:val="es-ES"/>
          <w14:ligatures w14:val="none"/>
        </w:rPr>
        <w:t xml:space="preserve">Garantizar la documentación adecuada de las decisiones del Comité de Riesgos; y </w:t>
      </w:r>
    </w:p>
    <w:p w14:paraId="04C0AFB7" w14:textId="77777777" w:rsidR="00852680" w:rsidRPr="00852680" w:rsidRDefault="00852680" w:rsidP="00852680">
      <w:pPr>
        <w:numPr>
          <w:ilvl w:val="0"/>
          <w:numId w:val="10"/>
        </w:numPr>
        <w:shd w:val="clear" w:color="auto" w:fill="FFFFFF"/>
        <w:spacing w:after="0" w:line="240" w:lineRule="auto"/>
        <w:contextualSpacing/>
        <w:rPr>
          <w:rFonts w:ascii="Calibri" w:eastAsia="Times New Roman" w:hAnsi="Calibri" w:cs="Times New Roman"/>
          <w:i/>
          <w:iCs/>
          <w:color w:val="000000"/>
          <w:kern w:val="0"/>
          <w:sz w:val="24"/>
          <w:szCs w:val="24"/>
          <w:bdr w:val="none" w:sz="0" w:space="0" w:color="auto" w:frame="1"/>
          <w:shd w:val="clear" w:color="auto" w:fill="FFFFFF"/>
          <w:lang w:val="es-ES"/>
          <w14:ligatures w14:val="none"/>
        </w:rPr>
      </w:pPr>
      <w:r w:rsidRPr="00852680">
        <w:rPr>
          <w:rFonts w:ascii="Calibri" w:eastAsia="Times New Roman" w:hAnsi="Calibri" w:cs="Arial"/>
          <w:kern w:val="0"/>
          <w:lang w:val="es-ES"/>
          <w14:ligatures w14:val="none"/>
        </w:rPr>
        <w:t>Cualquier otra tarea que le asigne el presidente del Comité.</w:t>
      </w:r>
    </w:p>
    <w:p w14:paraId="39531A76" w14:textId="77777777" w:rsidR="00852680" w:rsidRDefault="00852680"/>
    <w:sectPr w:rsidR="0085268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8BECC" w14:textId="77777777" w:rsidR="00852680" w:rsidRDefault="00852680" w:rsidP="00852680">
      <w:pPr>
        <w:spacing w:after="0" w:line="240" w:lineRule="auto"/>
      </w:pPr>
      <w:r>
        <w:separator/>
      </w:r>
    </w:p>
  </w:endnote>
  <w:endnote w:type="continuationSeparator" w:id="0">
    <w:p w14:paraId="366A9F17" w14:textId="77777777" w:rsidR="00852680" w:rsidRDefault="00852680" w:rsidP="0085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34895"/>
      <w:docPartObj>
        <w:docPartGallery w:val="Page Numbers (Bottom of Page)"/>
        <w:docPartUnique/>
      </w:docPartObj>
    </w:sdtPr>
    <w:sdtEndPr>
      <w:rPr>
        <w:noProof/>
      </w:rPr>
    </w:sdtEndPr>
    <w:sdtContent>
      <w:p w14:paraId="254AF208" w14:textId="0900F986" w:rsidR="00852680" w:rsidRDefault="008526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095457" w14:textId="77777777" w:rsidR="00852680" w:rsidRDefault="00852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7F44" w14:textId="77777777" w:rsidR="00852680" w:rsidRDefault="00852680" w:rsidP="00852680">
      <w:pPr>
        <w:spacing w:after="0" w:line="240" w:lineRule="auto"/>
      </w:pPr>
      <w:r>
        <w:separator/>
      </w:r>
    </w:p>
  </w:footnote>
  <w:footnote w:type="continuationSeparator" w:id="0">
    <w:p w14:paraId="28AD67DF" w14:textId="77777777" w:rsidR="00852680" w:rsidRDefault="00852680" w:rsidP="00852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2F5C"/>
    <w:multiLevelType w:val="hybridMultilevel"/>
    <w:tmpl w:val="45A0566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1C884FD4"/>
    <w:multiLevelType w:val="hybridMultilevel"/>
    <w:tmpl w:val="DEA0626E"/>
    <w:lvl w:ilvl="0" w:tplc="20000001">
      <w:start w:val="1"/>
      <w:numFmt w:val="bullet"/>
      <w:lvlText w:val=""/>
      <w:lvlJc w:val="left"/>
      <w:pPr>
        <w:ind w:left="720" w:hanging="360"/>
      </w:pPr>
      <w:rPr>
        <w:rFonts w:ascii="Symbol" w:hAnsi="Symbol" w:hint="default"/>
      </w:rPr>
    </w:lvl>
    <w:lvl w:ilvl="1" w:tplc="760643B6">
      <w:numFmt w:val="bullet"/>
      <w:lvlText w:val="-"/>
      <w:lvlJc w:val="left"/>
      <w:pPr>
        <w:ind w:left="1440"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9B679F"/>
    <w:multiLevelType w:val="hybridMultilevel"/>
    <w:tmpl w:val="CF904558"/>
    <w:lvl w:ilvl="0" w:tplc="744CF912">
      <w:start w:val="1"/>
      <w:numFmt w:val="decimal"/>
      <w:lvlText w:val="%1)"/>
      <w:lvlJc w:val="left"/>
      <w:pPr>
        <w:ind w:left="502" w:hanging="360"/>
      </w:pPr>
      <w:rPr>
        <w:rFonts w:cs="Calibri"/>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 w15:restartNumberingAfterBreak="0">
    <w:nsid w:val="37213919"/>
    <w:multiLevelType w:val="hybridMultilevel"/>
    <w:tmpl w:val="CBC61692"/>
    <w:lvl w:ilvl="0" w:tplc="0409000F">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50E22E75"/>
    <w:multiLevelType w:val="hybridMultilevel"/>
    <w:tmpl w:val="10A4D080"/>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B828A0"/>
    <w:multiLevelType w:val="hybridMultilevel"/>
    <w:tmpl w:val="C23E5206"/>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6CF0920"/>
    <w:multiLevelType w:val="hybridMultilevel"/>
    <w:tmpl w:val="8FECB2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57DE2047"/>
    <w:multiLevelType w:val="hybridMultilevel"/>
    <w:tmpl w:val="922C3106"/>
    <w:lvl w:ilvl="0" w:tplc="0C4AC4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33681C"/>
    <w:multiLevelType w:val="hybridMultilevel"/>
    <w:tmpl w:val="9482A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CF56E0"/>
    <w:multiLevelType w:val="hybridMultilevel"/>
    <w:tmpl w:val="4124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84278">
    <w:abstractNumId w:val="3"/>
  </w:num>
  <w:num w:numId="2" w16cid:durableId="824778402">
    <w:abstractNumId w:val="7"/>
  </w:num>
  <w:num w:numId="3" w16cid:durableId="1413895678">
    <w:abstractNumId w:val="9"/>
  </w:num>
  <w:num w:numId="4" w16cid:durableId="961694245">
    <w:abstractNumId w:val="8"/>
  </w:num>
  <w:num w:numId="5" w16cid:durableId="18394215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2240458">
    <w:abstractNumId w:val="6"/>
  </w:num>
  <w:num w:numId="7" w16cid:durableId="386221383">
    <w:abstractNumId w:val="1"/>
  </w:num>
  <w:num w:numId="8" w16cid:durableId="1828940345">
    <w:abstractNumId w:val="5"/>
  </w:num>
  <w:num w:numId="9" w16cid:durableId="1769156901">
    <w:abstractNumId w:val="4"/>
  </w:num>
  <w:num w:numId="10" w16cid:durableId="369914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80"/>
    <w:rsid w:val="0080387B"/>
    <w:rsid w:val="00852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FD6C"/>
  <w15:chartTrackingRefBased/>
  <w15:docId w15:val="{6C7ABE80-D52F-4C53-90EF-D33F0E73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680"/>
  </w:style>
  <w:style w:type="paragraph" w:styleId="Footer">
    <w:name w:val="footer"/>
    <w:basedOn w:val="Normal"/>
    <w:link w:val="FooterChar"/>
    <w:uiPriority w:val="99"/>
    <w:unhideWhenUsed/>
    <w:rsid w:val="00852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p.undp.org/node/4066" TargetMode="Externa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https://popp.undp.org/node/4066" TargetMode="Externa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B852D8-AADA-4247-B2D8-162656071DC3}" type="doc">
      <dgm:prSet loTypeId="urn:microsoft.com/office/officeart/2005/8/layout/hierarchy5" loCatId="hierarchy" qsTypeId="urn:microsoft.com/office/officeart/2005/8/quickstyle/3d1" qsCatId="3D" csTypeId="urn:microsoft.com/office/officeart/2005/8/colors/accent1_2" csCatId="accent1" phldr="1"/>
      <dgm:spPr/>
      <dgm:t>
        <a:bodyPr/>
        <a:lstStyle/>
        <a:p>
          <a:endParaRPr lang="en-US"/>
        </a:p>
      </dgm:t>
    </dgm:pt>
    <dgm:pt modelId="{15CC8D2D-8CD4-43ED-95E4-6B5114316781}">
      <dgm:prSet phldrT="[Text]" custT="1"/>
      <dgm:spPr>
        <a:xfrm>
          <a:off x="368650" y="1831378"/>
          <a:ext cx="755496" cy="377748"/>
        </a:xfrm>
        <a:prstGeom prst="flowChartAlternateProcess">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buNone/>
          </a:pPr>
          <a:r>
            <a:rPr lang="en-US" sz="1000" b="1">
              <a:solidFill>
                <a:sysClr val="window" lastClr="FFFFFF"/>
              </a:solidFill>
              <a:latin typeface="Calibri" panose="020F0502020204030204"/>
              <a:ea typeface="+mn-ea"/>
              <a:cs typeface="+mn-cs"/>
            </a:rPr>
            <a:t>EXECUTIVE GROUP</a:t>
          </a:r>
        </a:p>
      </dgm:t>
    </dgm:pt>
    <dgm:pt modelId="{166E4CCC-571D-4AA2-A038-EB1CE7DF8BE6}" type="parTrans" cxnId="{C6530FB9-9786-494D-A977-3339D8729557}">
      <dgm:prSet/>
      <dgm:spPr/>
      <dgm:t>
        <a:bodyPr/>
        <a:lstStyle/>
        <a:p>
          <a:pPr algn="ctr"/>
          <a:endParaRPr lang="en-US" b="1"/>
        </a:p>
      </dgm:t>
    </dgm:pt>
    <dgm:pt modelId="{1F38C8C0-4D82-4CD4-95F2-9DDB3326175A}" type="sibTrans" cxnId="{C6530FB9-9786-494D-A977-3339D8729557}">
      <dgm:prSet/>
      <dgm:spPr/>
      <dgm:t>
        <a:bodyPr/>
        <a:lstStyle/>
        <a:p>
          <a:pPr algn="ctr"/>
          <a:endParaRPr lang="en-US" b="1"/>
        </a:p>
      </dgm:t>
    </dgm:pt>
    <dgm:pt modelId="{E9D91247-F118-447D-A90C-DCEAD3240729}">
      <dgm:prSet phldrT="[Text]" custT="1"/>
      <dgm:spPr>
        <a:xfrm>
          <a:off x="1426345" y="1831378"/>
          <a:ext cx="755496" cy="377748"/>
        </a:xfrm>
        <a:prstGeom prst="flowChartAlternateProcess">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buNone/>
          </a:pPr>
          <a:r>
            <a:rPr lang="en-US" sz="1000" b="1">
              <a:solidFill>
                <a:sysClr val="window" lastClr="FFFFFF"/>
              </a:solidFill>
              <a:latin typeface="Calibri" panose="020F0502020204030204"/>
              <a:ea typeface="+mn-ea"/>
              <a:cs typeface="+mn-cs"/>
            </a:rPr>
            <a:t>RISK COMMITTEE</a:t>
          </a:r>
        </a:p>
      </dgm:t>
    </dgm:pt>
    <dgm:pt modelId="{961A9BFF-624C-4866-947E-5BCBCA50B414}" type="parTrans" cxnId="{6B7CC9BD-B3BE-4009-968A-7597B55A7909}">
      <dgm:prSet/>
      <dgm:spPr>
        <a:xfrm>
          <a:off x="1124147" y="2009650"/>
          <a:ext cx="302198" cy="21203"/>
        </a:xfrm>
        <a:custGeom>
          <a:avLst/>
          <a:gdLst/>
          <a:ahLst/>
          <a:cxnLst/>
          <a:rect l="0" t="0" r="0" b="0"/>
          <a:pathLst>
            <a:path>
              <a:moveTo>
                <a:pt x="0" y="10601"/>
              </a:moveTo>
              <a:lnTo>
                <a:pt x="302198" y="10601"/>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lightRig rig="flat" dir="t"/>
        </a:scene3d>
        <a:sp3d prstMaterial="matte"/>
      </dgm:spPr>
      <dgm:t>
        <a:bodyPr/>
        <a:lstStyle/>
        <a:p>
          <a:pPr algn="ctr">
            <a:buNone/>
          </a:pPr>
          <a:endParaRPr lang="en-US" b="1">
            <a:solidFill>
              <a:sysClr val="windowText" lastClr="000000">
                <a:hueOff val="0"/>
                <a:satOff val="0"/>
                <a:lumOff val="0"/>
                <a:alphaOff val="0"/>
              </a:sysClr>
            </a:solidFill>
            <a:latin typeface="Calibri" panose="020F0502020204030204"/>
            <a:ea typeface="+mn-ea"/>
            <a:cs typeface="+mn-cs"/>
          </a:endParaRPr>
        </a:p>
      </dgm:t>
    </dgm:pt>
    <dgm:pt modelId="{8D66451D-7FBC-4FCE-BC1A-B551548DAFC7}" type="sibTrans" cxnId="{6B7CC9BD-B3BE-4009-968A-7597B55A7909}">
      <dgm:prSet/>
      <dgm:spPr/>
      <dgm:t>
        <a:bodyPr/>
        <a:lstStyle/>
        <a:p>
          <a:pPr algn="ctr"/>
          <a:endParaRPr lang="en-US" b="1"/>
        </a:p>
      </dgm:t>
    </dgm:pt>
    <dgm:pt modelId="{181E93A3-7F6E-424D-8689-1FBAA36D9620}">
      <dgm:prSet phldrT="[Text]" custT="1"/>
      <dgm:spPr>
        <a:xfrm>
          <a:off x="2489284" y="773924"/>
          <a:ext cx="1185555" cy="377748"/>
        </a:xfrm>
        <a:prstGeom prst="flowChartAlternateProcess">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buNone/>
          </a:pPr>
          <a:r>
            <a:rPr lang="en-US" sz="1000" b="1">
              <a:solidFill>
                <a:sysClr val="window" lastClr="FFFFFF"/>
              </a:solidFill>
              <a:latin typeface="Calibri" panose="020F0502020204030204"/>
              <a:ea typeface="+mn-ea"/>
              <a:cs typeface="+mn-cs"/>
            </a:rPr>
            <a:t>ORGANIZATIONAL PERFORMANCE GROUP (OPG)</a:t>
          </a:r>
        </a:p>
      </dgm:t>
    </dgm:pt>
    <dgm:pt modelId="{B9A35410-BE1A-4856-B6A3-E5A85793D0EF}" type="parTrans" cxnId="{56F89215-B910-40F7-9EF5-1D93853D81C7}">
      <dgm:prSet/>
      <dgm:spPr>
        <a:xfrm rot="17172669">
          <a:off x="1784943" y="1480924"/>
          <a:ext cx="1101239" cy="21203"/>
        </a:xfrm>
        <a:custGeom>
          <a:avLst/>
          <a:gdLst/>
          <a:ahLst/>
          <a:cxnLst/>
          <a:rect l="0" t="0" r="0" b="0"/>
          <a:pathLst>
            <a:path>
              <a:moveTo>
                <a:pt x="0" y="10601"/>
              </a:moveTo>
              <a:lnTo>
                <a:pt x="1101239" y="10601"/>
              </a:lnTo>
            </a:path>
          </a:pathLst>
        </a:custGeom>
        <a:noFill/>
        <a:ln w="12700" cap="flat" cmpd="sng" algn="ctr">
          <a:solidFill>
            <a:srgbClr val="4472C4">
              <a:shade val="80000"/>
              <a:hueOff val="0"/>
              <a:satOff val="0"/>
              <a:lumOff val="0"/>
              <a:alphaOff val="0"/>
            </a:srgbClr>
          </a:solidFill>
          <a:prstDash val="solid"/>
          <a:miter lim="800000"/>
        </a:ln>
        <a:effectLst/>
        <a:scene3d>
          <a:camera prst="orthographicFront"/>
          <a:lightRig rig="flat" dir="t"/>
        </a:scene3d>
        <a:sp3d prstMaterial="matte"/>
      </dgm:spPr>
      <dgm:t>
        <a:bodyPr/>
        <a:lstStyle/>
        <a:p>
          <a:pPr algn="ctr">
            <a:buNone/>
          </a:pPr>
          <a:endParaRPr lang="en-US" b="1">
            <a:solidFill>
              <a:sysClr val="windowText" lastClr="000000">
                <a:hueOff val="0"/>
                <a:satOff val="0"/>
                <a:lumOff val="0"/>
                <a:alphaOff val="0"/>
              </a:sysClr>
            </a:solidFill>
            <a:latin typeface="Calibri" panose="020F0502020204030204"/>
            <a:ea typeface="+mn-ea"/>
            <a:cs typeface="+mn-cs"/>
          </a:endParaRPr>
        </a:p>
      </dgm:t>
    </dgm:pt>
    <dgm:pt modelId="{2686D9CB-D62C-431C-B75C-5D7387A4EF2C}" type="sibTrans" cxnId="{56F89215-B910-40F7-9EF5-1D93853D81C7}">
      <dgm:prSet/>
      <dgm:spPr/>
      <dgm:t>
        <a:bodyPr/>
        <a:lstStyle/>
        <a:p>
          <a:pPr algn="ctr"/>
          <a:endParaRPr lang="en-US" b="1"/>
        </a:p>
      </dgm:t>
    </dgm:pt>
    <dgm:pt modelId="{88314AAB-3E43-4B8C-AD92-65186592FC8F}">
      <dgm:prSet phldrT="[Text]" custT="1"/>
      <dgm:spPr>
        <a:xfrm>
          <a:off x="2484040" y="1265972"/>
          <a:ext cx="1208280" cy="377748"/>
        </a:xfrm>
        <a:prstGeom prst="flowChartAlternateProcess">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buNone/>
          </a:pPr>
          <a:r>
            <a:rPr lang="en-US" sz="1000" b="1">
              <a:solidFill>
                <a:sysClr val="window" lastClr="FFFFFF"/>
              </a:solidFill>
              <a:latin typeface="Calibri" panose="020F0502020204030204"/>
              <a:ea typeface="+mn-ea"/>
              <a:cs typeface="+mn-cs"/>
            </a:rPr>
            <a:t>EXECUTIVE TEAM</a:t>
          </a:r>
        </a:p>
      </dgm:t>
    </dgm:pt>
    <dgm:pt modelId="{2BF857FB-0556-44D3-A666-D2D06E469232}" type="parTrans" cxnId="{2671D235-E181-4CD7-8CE6-01D2ACFE6B30}">
      <dgm:prSet/>
      <dgm:spPr>
        <a:xfrm rot="17887419">
          <a:off x="2012392" y="1726947"/>
          <a:ext cx="641099" cy="21203"/>
        </a:xfrm>
        <a:custGeom>
          <a:avLst/>
          <a:gdLst/>
          <a:ahLst/>
          <a:cxnLst/>
          <a:rect l="0" t="0" r="0" b="0"/>
          <a:pathLst>
            <a:path>
              <a:moveTo>
                <a:pt x="0" y="10601"/>
              </a:moveTo>
              <a:lnTo>
                <a:pt x="641099" y="10601"/>
              </a:lnTo>
            </a:path>
          </a:pathLst>
        </a:custGeom>
        <a:noFill/>
        <a:ln w="12700" cap="flat" cmpd="sng" algn="ctr">
          <a:solidFill>
            <a:srgbClr val="4472C4">
              <a:shade val="80000"/>
              <a:hueOff val="0"/>
              <a:satOff val="0"/>
              <a:lumOff val="0"/>
              <a:alphaOff val="0"/>
            </a:srgbClr>
          </a:solidFill>
          <a:prstDash val="solid"/>
          <a:miter lim="800000"/>
        </a:ln>
        <a:effectLst/>
        <a:scene3d>
          <a:camera prst="orthographicFront"/>
          <a:lightRig rig="flat" dir="t"/>
        </a:scene3d>
        <a:sp3d prstMaterial="matte"/>
      </dgm:spPr>
      <dgm:t>
        <a:bodyPr/>
        <a:lstStyle/>
        <a:p>
          <a:pPr algn="ctr">
            <a:buNone/>
          </a:pPr>
          <a:endParaRPr lang="en-US" b="1">
            <a:solidFill>
              <a:sysClr val="windowText" lastClr="000000">
                <a:hueOff val="0"/>
                <a:satOff val="0"/>
                <a:lumOff val="0"/>
                <a:alphaOff val="0"/>
              </a:sysClr>
            </a:solidFill>
            <a:latin typeface="Calibri" panose="020F0502020204030204"/>
            <a:ea typeface="+mn-ea"/>
            <a:cs typeface="+mn-cs"/>
          </a:endParaRPr>
        </a:p>
      </dgm:t>
    </dgm:pt>
    <dgm:pt modelId="{8588BE21-8B03-4BFE-A734-6925CE72625A}" type="sibTrans" cxnId="{2671D235-E181-4CD7-8CE6-01D2ACFE6B30}">
      <dgm:prSet/>
      <dgm:spPr/>
      <dgm:t>
        <a:bodyPr/>
        <a:lstStyle/>
        <a:p>
          <a:pPr algn="ctr"/>
          <a:endParaRPr lang="en-US" b="1"/>
        </a:p>
      </dgm:t>
    </dgm:pt>
    <dgm:pt modelId="{352EEBB9-1F1C-482E-94F9-7F5DBF045EDD}">
      <dgm:prSet phldrT="[Text]" custT="1"/>
      <dgm:spPr>
        <a:xfrm>
          <a:off x="2484040" y="1773741"/>
          <a:ext cx="1197469" cy="377748"/>
        </a:xfrm>
        <a:prstGeom prst="flowChartAlternateProcess">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buNone/>
          </a:pPr>
          <a:r>
            <a:rPr lang="en-US" sz="1000" b="1">
              <a:solidFill>
                <a:sysClr val="window" lastClr="FFFFFF"/>
              </a:solidFill>
              <a:latin typeface="Calibri" panose="020F0502020204030204"/>
              <a:ea typeface="+mn-ea"/>
              <a:cs typeface="+mn-cs"/>
            </a:rPr>
            <a:t>SECURITY MANAGEMENT GROUP</a:t>
          </a:r>
        </a:p>
      </dgm:t>
    </dgm:pt>
    <dgm:pt modelId="{ABB93559-6D21-43D3-B724-13AB214FF007}" type="parTrans" cxnId="{4B5DDC53-4B2D-4ED9-9680-F54E6741878B}">
      <dgm:prSet/>
      <dgm:spPr>
        <a:xfrm rot="20952117">
          <a:off x="2179118" y="1980832"/>
          <a:ext cx="307645" cy="21203"/>
        </a:xfrm>
        <a:custGeom>
          <a:avLst/>
          <a:gdLst/>
          <a:ahLst/>
          <a:cxnLst/>
          <a:rect l="0" t="0" r="0" b="0"/>
          <a:pathLst>
            <a:path>
              <a:moveTo>
                <a:pt x="0" y="10601"/>
              </a:moveTo>
              <a:lnTo>
                <a:pt x="307645" y="10601"/>
              </a:lnTo>
            </a:path>
          </a:pathLst>
        </a:custGeom>
        <a:noFill/>
        <a:ln w="12700" cap="flat" cmpd="sng" algn="ctr">
          <a:solidFill>
            <a:srgbClr val="4472C4">
              <a:shade val="80000"/>
              <a:hueOff val="0"/>
              <a:satOff val="0"/>
              <a:lumOff val="0"/>
              <a:alphaOff val="0"/>
            </a:srgbClr>
          </a:solidFill>
          <a:prstDash val="solid"/>
          <a:miter lim="800000"/>
        </a:ln>
        <a:effectLst/>
        <a:scene3d>
          <a:camera prst="orthographicFront"/>
          <a:lightRig rig="flat" dir="t"/>
        </a:scene3d>
        <a:sp3d prstMaterial="matte"/>
      </dgm:spPr>
      <dgm:t>
        <a:bodyPr/>
        <a:lstStyle/>
        <a:p>
          <a:pPr algn="ctr">
            <a:buNone/>
          </a:pPr>
          <a:endParaRPr lang="en-US" b="1">
            <a:solidFill>
              <a:sysClr val="windowText" lastClr="000000">
                <a:hueOff val="0"/>
                <a:satOff val="0"/>
                <a:lumOff val="0"/>
                <a:alphaOff val="0"/>
              </a:sysClr>
            </a:solidFill>
            <a:latin typeface="Calibri" panose="020F0502020204030204"/>
            <a:ea typeface="+mn-ea"/>
            <a:cs typeface="+mn-cs"/>
          </a:endParaRPr>
        </a:p>
      </dgm:t>
    </dgm:pt>
    <dgm:pt modelId="{5251D3D5-1B63-4967-AE07-179A067C462F}" type="sibTrans" cxnId="{4B5DDC53-4B2D-4ED9-9680-F54E6741878B}">
      <dgm:prSet/>
      <dgm:spPr/>
      <dgm:t>
        <a:bodyPr/>
        <a:lstStyle/>
        <a:p>
          <a:pPr algn="ctr"/>
          <a:endParaRPr lang="en-US" b="1"/>
        </a:p>
      </dgm:t>
    </dgm:pt>
    <dgm:pt modelId="{F49014BD-D9FC-495D-870F-9E22DB3F48E1}">
      <dgm:prSet phldrT="[Text]" custT="1"/>
      <dgm:spPr>
        <a:xfrm>
          <a:off x="2484040" y="2265788"/>
          <a:ext cx="1189499" cy="377748"/>
        </a:xfrm>
        <a:prstGeom prst="flowChartAlternateProcess">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buNone/>
          </a:pPr>
          <a:r>
            <a:rPr lang="en-US" sz="1000" b="1">
              <a:solidFill>
                <a:sysClr val="window" lastClr="FFFFFF"/>
              </a:solidFill>
              <a:latin typeface="Calibri" panose="020F0502020204030204"/>
              <a:ea typeface="+mn-ea"/>
              <a:cs typeface="+mn-cs"/>
            </a:rPr>
            <a:t>CRISIS BOARD</a:t>
          </a:r>
        </a:p>
      </dgm:t>
    </dgm:pt>
    <dgm:pt modelId="{B7F79038-E349-486F-91FB-33BA8725BC2A}" type="parTrans" cxnId="{AD7E8CF0-0E16-4E92-8A8F-6FF25EA6E4A4}">
      <dgm:prSet/>
      <dgm:spPr>
        <a:xfrm rot="3310531">
          <a:off x="2068349" y="2226855"/>
          <a:ext cx="529184" cy="21203"/>
        </a:xfrm>
        <a:custGeom>
          <a:avLst/>
          <a:gdLst/>
          <a:ahLst/>
          <a:cxnLst/>
          <a:rect l="0" t="0" r="0" b="0"/>
          <a:pathLst>
            <a:path>
              <a:moveTo>
                <a:pt x="0" y="10601"/>
              </a:moveTo>
              <a:lnTo>
                <a:pt x="529184" y="10601"/>
              </a:lnTo>
            </a:path>
          </a:pathLst>
        </a:custGeom>
        <a:noFill/>
        <a:ln w="12700" cap="flat" cmpd="sng" algn="ctr">
          <a:solidFill>
            <a:srgbClr val="4472C4">
              <a:shade val="80000"/>
              <a:hueOff val="0"/>
              <a:satOff val="0"/>
              <a:lumOff val="0"/>
              <a:alphaOff val="0"/>
            </a:srgbClr>
          </a:solidFill>
          <a:prstDash val="solid"/>
          <a:miter lim="800000"/>
        </a:ln>
        <a:effectLst/>
        <a:scene3d>
          <a:camera prst="orthographicFront"/>
          <a:lightRig rig="flat" dir="t"/>
        </a:scene3d>
        <a:sp3d prstMaterial="matte"/>
      </dgm:spPr>
      <dgm:t>
        <a:bodyPr/>
        <a:lstStyle/>
        <a:p>
          <a:pPr algn="ctr">
            <a:buNone/>
          </a:pPr>
          <a:endParaRPr lang="en-US" b="1">
            <a:solidFill>
              <a:sysClr val="windowText" lastClr="000000">
                <a:hueOff val="0"/>
                <a:satOff val="0"/>
                <a:lumOff val="0"/>
                <a:alphaOff val="0"/>
              </a:sysClr>
            </a:solidFill>
            <a:latin typeface="Calibri" panose="020F0502020204030204"/>
            <a:ea typeface="+mn-ea"/>
            <a:cs typeface="+mn-cs"/>
          </a:endParaRPr>
        </a:p>
      </dgm:t>
    </dgm:pt>
    <dgm:pt modelId="{15A679B4-D447-406D-ACFC-642BE536E7B2}" type="sibTrans" cxnId="{AD7E8CF0-0E16-4E92-8A8F-6FF25EA6E4A4}">
      <dgm:prSet/>
      <dgm:spPr/>
      <dgm:t>
        <a:bodyPr/>
        <a:lstStyle/>
        <a:p>
          <a:pPr algn="ctr"/>
          <a:endParaRPr lang="en-US" b="1"/>
        </a:p>
      </dgm:t>
    </dgm:pt>
    <dgm:pt modelId="{78669AE5-42AF-45D3-AC2A-533B13E152E9}">
      <dgm:prSet phldrT="[Text]" custT="1"/>
      <dgm:spPr>
        <a:xfrm>
          <a:off x="2408491" y="0"/>
          <a:ext cx="1317673" cy="3206750"/>
        </a:xfrm>
        <a:prstGeom prst="roundRect">
          <a:avLst>
            <a:gd name="adj" fmla="val 10000"/>
          </a:avLst>
        </a:prstGeom>
        <a:gradFill rotWithShape="0">
          <a:gsLst>
            <a:gs pos="0">
              <a:srgbClr val="4472C4">
                <a:tint val="40000"/>
                <a:hueOff val="0"/>
                <a:satOff val="0"/>
                <a:lumOff val="0"/>
                <a:alphaOff val="0"/>
                <a:satMod val="103000"/>
                <a:lumMod val="102000"/>
                <a:tint val="94000"/>
              </a:srgbClr>
            </a:gs>
            <a:gs pos="50000">
              <a:srgbClr val="4472C4">
                <a:tint val="40000"/>
                <a:hueOff val="0"/>
                <a:satOff val="0"/>
                <a:lumOff val="0"/>
                <a:alphaOff val="0"/>
                <a:satMod val="110000"/>
                <a:lumMod val="100000"/>
                <a:shade val="100000"/>
              </a:srgbClr>
            </a:gs>
            <a:gs pos="100000">
              <a:srgbClr val="4472C4">
                <a:tint val="40000"/>
                <a:hueOff val="0"/>
                <a:satOff val="0"/>
                <a:lumOff val="0"/>
                <a:alphaOff val="0"/>
                <a:lumMod val="99000"/>
                <a:satMod val="120000"/>
                <a:shade val="78000"/>
              </a:srgbClr>
            </a:gs>
          </a:gsLst>
          <a:lin ang="5400000" scaled="0"/>
        </a:gradFill>
        <a:ln>
          <a:noFill/>
        </a:ln>
        <a:effectLst/>
        <a:scene3d>
          <a:camera prst="orthographicFront"/>
          <a:lightRig rig="flat" dir="t"/>
        </a:scene3d>
        <a:sp3d z="-190500" extrusionH="12700" prstMaterial="plastic">
          <a:bevelT w="50800" h="50800"/>
        </a:sp3d>
      </dgm:spPr>
      <dgm:t>
        <a:bodyPr/>
        <a:lstStyle/>
        <a:p>
          <a:pPr algn="ctr">
            <a:buNone/>
          </a:pPr>
          <a:r>
            <a:rPr lang="en-US" sz="1000" b="1">
              <a:solidFill>
                <a:sysClr val="windowText" lastClr="000000">
                  <a:hueOff val="0"/>
                  <a:satOff val="0"/>
                  <a:lumOff val="0"/>
                  <a:alphaOff val="0"/>
                </a:sysClr>
              </a:solidFill>
              <a:latin typeface="Calibri" panose="020F0502020204030204"/>
              <a:ea typeface="+mn-ea"/>
              <a:cs typeface="+mn-cs"/>
            </a:rPr>
            <a:t>RISK IDENTIFICATION AND TREATMENT</a:t>
          </a:r>
        </a:p>
      </dgm:t>
    </dgm:pt>
    <dgm:pt modelId="{698E581C-C5D8-479D-8E0F-A971A437C887}" type="sibTrans" cxnId="{95B1FA61-5B5F-4469-9F2C-DD4F95A3B640}">
      <dgm:prSet/>
      <dgm:spPr/>
      <dgm:t>
        <a:bodyPr/>
        <a:lstStyle/>
        <a:p>
          <a:pPr algn="ctr"/>
          <a:endParaRPr lang="en-US" b="1"/>
        </a:p>
      </dgm:t>
    </dgm:pt>
    <dgm:pt modelId="{5E690B64-201F-42BB-B7AA-ABAD7CD55A56}" type="parTrans" cxnId="{95B1FA61-5B5F-4469-9F2C-DD4F95A3B640}">
      <dgm:prSet/>
      <dgm:spPr/>
      <dgm:t>
        <a:bodyPr/>
        <a:lstStyle/>
        <a:p>
          <a:pPr algn="ctr"/>
          <a:endParaRPr lang="en-US" b="1"/>
        </a:p>
      </dgm:t>
    </dgm:pt>
    <dgm:pt modelId="{266C2AE2-CFFE-4182-801B-359628575A81}">
      <dgm:prSet phldrT="[Text]" custT="1"/>
      <dgm:spPr>
        <a:xfrm>
          <a:off x="1350796" y="0"/>
          <a:ext cx="906595" cy="3206750"/>
        </a:xfrm>
        <a:prstGeom prst="roundRect">
          <a:avLst>
            <a:gd name="adj" fmla="val 10000"/>
          </a:avLst>
        </a:prstGeom>
        <a:gradFill rotWithShape="0">
          <a:gsLst>
            <a:gs pos="0">
              <a:srgbClr val="4472C4">
                <a:tint val="40000"/>
                <a:hueOff val="0"/>
                <a:satOff val="0"/>
                <a:lumOff val="0"/>
                <a:alphaOff val="0"/>
                <a:satMod val="103000"/>
                <a:lumMod val="102000"/>
                <a:tint val="94000"/>
              </a:srgbClr>
            </a:gs>
            <a:gs pos="50000">
              <a:srgbClr val="4472C4">
                <a:tint val="40000"/>
                <a:hueOff val="0"/>
                <a:satOff val="0"/>
                <a:lumOff val="0"/>
                <a:alphaOff val="0"/>
                <a:satMod val="110000"/>
                <a:lumMod val="100000"/>
                <a:shade val="100000"/>
              </a:srgbClr>
            </a:gs>
            <a:gs pos="100000">
              <a:srgbClr val="4472C4">
                <a:tint val="40000"/>
                <a:hueOff val="0"/>
                <a:satOff val="0"/>
                <a:lumOff val="0"/>
                <a:alphaOff val="0"/>
                <a:lumMod val="99000"/>
                <a:satMod val="120000"/>
                <a:shade val="78000"/>
              </a:srgbClr>
            </a:gs>
          </a:gsLst>
          <a:lin ang="5400000" scaled="0"/>
        </a:gradFill>
        <a:ln>
          <a:noFill/>
        </a:ln>
        <a:effectLst/>
        <a:scene3d>
          <a:camera prst="orthographicFront"/>
          <a:lightRig rig="flat" dir="t"/>
        </a:scene3d>
        <a:sp3d z="-190500" extrusionH="12700" prstMaterial="plastic">
          <a:bevelT w="50800" h="50800"/>
        </a:sp3d>
      </dgm:spPr>
      <dgm:t>
        <a:bodyPr/>
        <a:lstStyle/>
        <a:p>
          <a:pPr algn="ctr">
            <a:buNone/>
          </a:pPr>
          <a:r>
            <a:rPr lang="en-US" sz="1000" b="1">
              <a:solidFill>
                <a:sysClr val="windowText" lastClr="000000">
                  <a:hueOff val="0"/>
                  <a:satOff val="0"/>
                  <a:lumOff val="0"/>
                  <a:alphaOff val="0"/>
                </a:sysClr>
              </a:solidFill>
              <a:latin typeface="Calibri" panose="020F0502020204030204"/>
              <a:ea typeface="+mn-ea"/>
              <a:cs typeface="+mn-cs"/>
            </a:rPr>
            <a:t>RISK ANALYSIS, EVALUATION. RECOMMENDATION  AND MONITORING </a:t>
          </a:r>
        </a:p>
      </dgm:t>
    </dgm:pt>
    <dgm:pt modelId="{64EEBB87-276F-4266-BA5E-4AF0B0BE6591}" type="sibTrans" cxnId="{19F5895B-E88F-4FD4-9B22-CA7383FF7417}">
      <dgm:prSet/>
      <dgm:spPr/>
      <dgm:t>
        <a:bodyPr/>
        <a:lstStyle/>
        <a:p>
          <a:pPr algn="ctr"/>
          <a:endParaRPr lang="en-US" b="1"/>
        </a:p>
      </dgm:t>
    </dgm:pt>
    <dgm:pt modelId="{ED336009-142C-4231-98A1-425E93FE1993}" type="parTrans" cxnId="{19F5895B-E88F-4FD4-9B22-CA7383FF7417}">
      <dgm:prSet/>
      <dgm:spPr/>
      <dgm:t>
        <a:bodyPr/>
        <a:lstStyle/>
        <a:p>
          <a:pPr algn="ctr"/>
          <a:endParaRPr lang="en-US" b="1"/>
        </a:p>
      </dgm:t>
    </dgm:pt>
    <dgm:pt modelId="{FB5F5B7F-484E-4EED-9615-EDB82546C1D7}">
      <dgm:prSet phldrT="[Text]" custT="1"/>
      <dgm:spPr>
        <a:xfrm>
          <a:off x="293101" y="0"/>
          <a:ext cx="906595" cy="3206750"/>
        </a:xfrm>
        <a:prstGeom prst="roundRect">
          <a:avLst>
            <a:gd name="adj" fmla="val 10000"/>
          </a:avLst>
        </a:prstGeom>
        <a:gradFill rotWithShape="0">
          <a:gsLst>
            <a:gs pos="0">
              <a:srgbClr val="4472C4">
                <a:tint val="40000"/>
                <a:hueOff val="0"/>
                <a:satOff val="0"/>
                <a:lumOff val="0"/>
                <a:alphaOff val="0"/>
                <a:satMod val="103000"/>
                <a:lumMod val="102000"/>
                <a:tint val="94000"/>
              </a:srgbClr>
            </a:gs>
            <a:gs pos="50000">
              <a:srgbClr val="4472C4">
                <a:tint val="40000"/>
                <a:hueOff val="0"/>
                <a:satOff val="0"/>
                <a:lumOff val="0"/>
                <a:alphaOff val="0"/>
                <a:satMod val="110000"/>
                <a:lumMod val="100000"/>
                <a:shade val="100000"/>
              </a:srgbClr>
            </a:gs>
            <a:gs pos="100000">
              <a:srgbClr val="4472C4">
                <a:tint val="40000"/>
                <a:hueOff val="0"/>
                <a:satOff val="0"/>
                <a:lumOff val="0"/>
                <a:alphaOff val="0"/>
                <a:lumMod val="99000"/>
                <a:satMod val="120000"/>
                <a:shade val="78000"/>
              </a:srgbClr>
            </a:gs>
          </a:gsLst>
          <a:lin ang="5400000" scaled="0"/>
        </a:gradFill>
        <a:ln>
          <a:noFill/>
        </a:ln>
        <a:effectLst/>
        <a:scene3d>
          <a:camera prst="orthographicFront"/>
          <a:lightRig rig="flat" dir="t"/>
        </a:scene3d>
        <a:sp3d z="-190500" extrusionH="12700" prstMaterial="plastic">
          <a:bevelT w="50800" h="50800"/>
        </a:sp3d>
      </dgm:spPr>
      <dgm:t>
        <a:bodyPr/>
        <a:lstStyle/>
        <a:p>
          <a:pPr algn="ctr">
            <a:buNone/>
          </a:pPr>
          <a:r>
            <a:rPr lang="en-US" sz="900" b="1">
              <a:solidFill>
                <a:sysClr val="windowText" lastClr="000000">
                  <a:hueOff val="0"/>
                  <a:satOff val="0"/>
                  <a:lumOff val="0"/>
                  <a:alphaOff val="0"/>
                </a:sysClr>
              </a:solidFill>
              <a:latin typeface="Calibri" panose="020F0502020204030204"/>
              <a:ea typeface="+mn-ea"/>
              <a:cs typeface="+mn-cs"/>
            </a:rPr>
            <a:t>RISK </a:t>
          </a:r>
          <a:r>
            <a:rPr lang="en-US" sz="1000" b="1">
              <a:solidFill>
                <a:sysClr val="windowText" lastClr="000000">
                  <a:hueOff val="0"/>
                  <a:satOff val="0"/>
                  <a:lumOff val="0"/>
                  <a:alphaOff val="0"/>
                </a:sysClr>
              </a:solidFill>
              <a:latin typeface="Calibri" panose="020F0502020204030204"/>
              <a:ea typeface="+mn-ea"/>
              <a:cs typeface="+mn-cs"/>
            </a:rPr>
            <a:t>REPORTING AND DECISION MAKING</a:t>
          </a:r>
        </a:p>
      </dgm:t>
    </dgm:pt>
    <dgm:pt modelId="{D1470D02-27ED-4CA1-B5A5-6F142567EC6B}" type="sibTrans" cxnId="{DC226670-AE66-44D1-9D1B-F72274762B1B}">
      <dgm:prSet/>
      <dgm:spPr/>
      <dgm:t>
        <a:bodyPr/>
        <a:lstStyle/>
        <a:p>
          <a:pPr algn="ctr"/>
          <a:endParaRPr lang="en-US" b="1"/>
        </a:p>
      </dgm:t>
    </dgm:pt>
    <dgm:pt modelId="{EF6ECCF6-7302-4BE8-90AD-C9283006AFF8}" type="parTrans" cxnId="{DC226670-AE66-44D1-9D1B-F72274762B1B}">
      <dgm:prSet/>
      <dgm:spPr/>
      <dgm:t>
        <a:bodyPr/>
        <a:lstStyle/>
        <a:p>
          <a:pPr algn="ctr"/>
          <a:endParaRPr lang="en-US" b="1"/>
        </a:p>
      </dgm:t>
    </dgm:pt>
    <dgm:pt modelId="{776708B1-A768-41BB-9E2B-932B8A418C33}">
      <dgm:prSet phldrT="[Text]" custT="1"/>
      <dgm:spPr>
        <a:xfrm>
          <a:off x="2484040" y="2700199"/>
          <a:ext cx="1179889" cy="377748"/>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buNone/>
          </a:pPr>
          <a:r>
            <a:rPr lang="en-US" sz="1000" b="1">
              <a:solidFill>
                <a:sysClr val="window" lastClr="FFFFFF"/>
              </a:solidFill>
              <a:latin typeface="Calibri" panose="020F0502020204030204"/>
              <a:ea typeface="+mn-ea"/>
              <a:cs typeface="+mn-cs"/>
            </a:rPr>
            <a:t>Bureaux/Offices</a:t>
          </a:r>
        </a:p>
      </dgm:t>
    </dgm:pt>
    <dgm:pt modelId="{943EB31F-B2D7-49D6-8CDD-6414260B785D}" type="parTrans" cxnId="{84EB1760-2743-4609-8C6A-7645A45032FF}">
      <dgm:prSet/>
      <dgm:spPr>
        <a:xfrm rot="4249260">
          <a:off x="1873003" y="2444061"/>
          <a:ext cx="919877" cy="21203"/>
        </a:xfrm>
        <a:custGeom>
          <a:avLst/>
          <a:gdLst/>
          <a:ahLst/>
          <a:cxnLst/>
          <a:rect l="0" t="0" r="0" b="0"/>
          <a:pathLst>
            <a:path>
              <a:moveTo>
                <a:pt x="0" y="10601"/>
              </a:moveTo>
              <a:lnTo>
                <a:pt x="919877" y="10601"/>
              </a:lnTo>
            </a:path>
          </a:pathLst>
        </a:custGeom>
        <a:noFill/>
        <a:ln w="12700" cap="flat" cmpd="sng" algn="ctr">
          <a:solidFill>
            <a:srgbClr val="4472C4">
              <a:shade val="80000"/>
              <a:hueOff val="0"/>
              <a:satOff val="0"/>
              <a:lumOff val="0"/>
              <a:alphaOff val="0"/>
            </a:srgbClr>
          </a:solidFill>
          <a:prstDash val="solid"/>
          <a:miter lim="800000"/>
        </a:ln>
        <a:effectLst/>
        <a:scene3d>
          <a:camera prst="orthographicFront"/>
          <a:lightRig rig="flat" dir="t"/>
        </a:scene3d>
        <a:sp3d prstMaterial="matte"/>
      </dgm:spPr>
      <dgm:t>
        <a:bodyPr/>
        <a:lstStyle/>
        <a:p>
          <a:pPr algn="ctr">
            <a:buNone/>
          </a:pPr>
          <a:endParaRPr lang="en-US">
            <a:solidFill>
              <a:sysClr val="windowText" lastClr="000000">
                <a:hueOff val="0"/>
                <a:satOff val="0"/>
                <a:lumOff val="0"/>
                <a:alphaOff val="0"/>
              </a:sysClr>
            </a:solidFill>
            <a:latin typeface="Calibri" panose="020F0502020204030204"/>
            <a:ea typeface="+mn-ea"/>
            <a:cs typeface="+mn-cs"/>
          </a:endParaRPr>
        </a:p>
      </dgm:t>
    </dgm:pt>
    <dgm:pt modelId="{1E3DD07B-78FD-40BF-9028-42C10962CFFA}" type="sibTrans" cxnId="{84EB1760-2743-4609-8C6A-7645A45032FF}">
      <dgm:prSet/>
      <dgm:spPr/>
      <dgm:t>
        <a:bodyPr/>
        <a:lstStyle/>
        <a:p>
          <a:pPr algn="ctr"/>
          <a:endParaRPr lang="en-US"/>
        </a:p>
      </dgm:t>
    </dgm:pt>
    <dgm:pt modelId="{B1691514-1EB5-4542-A0F3-B8EE1F658E29}" type="pres">
      <dgm:prSet presAssocID="{4FB852D8-AADA-4247-B2D8-162656071DC3}" presName="mainComposite" presStyleCnt="0">
        <dgm:presLayoutVars>
          <dgm:chPref val="1"/>
          <dgm:dir/>
          <dgm:animOne val="branch"/>
          <dgm:animLvl val="lvl"/>
          <dgm:resizeHandles val="exact"/>
        </dgm:presLayoutVars>
      </dgm:prSet>
      <dgm:spPr/>
    </dgm:pt>
    <dgm:pt modelId="{AAB21038-82AE-4DE3-BC11-48A25577567F}" type="pres">
      <dgm:prSet presAssocID="{4FB852D8-AADA-4247-B2D8-162656071DC3}" presName="hierFlow" presStyleCnt="0"/>
      <dgm:spPr/>
    </dgm:pt>
    <dgm:pt modelId="{968E144C-B2CF-46FB-B4FE-970ED83F3CB2}" type="pres">
      <dgm:prSet presAssocID="{4FB852D8-AADA-4247-B2D8-162656071DC3}" presName="firstBuf" presStyleCnt="0"/>
      <dgm:spPr/>
    </dgm:pt>
    <dgm:pt modelId="{5EA6755E-7E67-4892-A4C1-C941E3D6EC54}" type="pres">
      <dgm:prSet presAssocID="{4FB852D8-AADA-4247-B2D8-162656071DC3}" presName="hierChild1" presStyleCnt="0">
        <dgm:presLayoutVars>
          <dgm:chPref val="1"/>
          <dgm:animOne val="branch"/>
          <dgm:animLvl val="lvl"/>
        </dgm:presLayoutVars>
      </dgm:prSet>
      <dgm:spPr/>
    </dgm:pt>
    <dgm:pt modelId="{2302760D-9C70-4791-853A-3C5905929D4F}" type="pres">
      <dgm:prSet presAssocID="{15CC8D2D-8CD4-43ED-95E4-6B5114316781}" presName="Name17" presStyleCnt="0"/>
      <dgm:spPr/>
    </dgm:pt>
    <dgm:pt modelId="{6CB256D6-FCCF-4A31-ADDF-DB035C701CA2}" type="pres">
      <dgm:prSet presAssocID="{15CC8D2D-8CD4-43ED-95E4-6B5114316781}" presName="level1Shape" presStyleLbl="node0" presStyleIdx="0" presStyleCnt="1">
        <dgm:presLayoutVars>
          <dgm:chPref val="3"/>
        </dgm:presLayoutVars>
      </dgm:prSet>
      <dgm:spPr>
        <a:prstGeom prst="flowChartAlternateProcess">
          <a:avLst/>
        </a:prstGeom>
      </dgm:spPr>
    </dgm:pt>
    <dgm:pt modelId="{D2AA8BED-5161-4DE6-BFEF-251DA6B76FE2}" type="pres">
      <dgm:prSet presAssocID="{15CC8D2D-8CD4-43ED-95E4-6B5114316781}" presName="hierChild2" presStyleCnt="0"/>
      <dgm:spPr/>
    </dgm:pt>
    <dgm:pt modelId="{C0F6EC62-D98C-4AD4-A855-EC4D1137D1D1}" type="pres">
      <dgm:prSet presAssocID="{961A9BFF-624C-4866-947E-5BCBCA50B414}" presName="Name25" presStyleLbl="parChTrans1D2" presStyleIdx="0" presStyleCnt="1"/>
      <dgm:spPr/>
    </dgm:pt>
    <dgm:pt modelId="{016CB1DC-538E-449F-948D-4D81D5473676}" type="pres">
      <dgm:prSet presAssocID="{961A9BFF-624C-4866-947E-5BCBCA50B414}" presName="connTx" presStyleLbl="parChTrans1D2" presStyleIdx="0" presStyleCnt="1"/>
      <dgm:spPr/>
    </dgm:pt>
    <dgm:pt modelId="{E5D8C0AB-51C1-4D28-B875-BCC300F888BB}" type="pres">
      <dgm:prSet presAssocID="{E9D91247-F118-447D-A90C-DCEAD3240729}" presName="Name30" presStyleCnt="0"/>
      <dgm:spPr/>
    </dgm:pt>
    <dgm:pt modelId="{CCAFF023-0A9F-4BE2-B691-30F87D16E209}" type="pres">
      <dgm:prSet presAssocID="{E9D91247-F118-447D-A90C-DCEAD3240729}" presName="level2Shape" presStyleLbl="node2" presStyleIdx="0" presStyleCnt="1"/>
      <dgm:spPr>
        <a:prstGeom prst="flowChartAlternateProcess">
          <a:avLst/>
        </a:prstGeom>
      </dgm:spPr>
    </dgm:pt>
    <dgm:pt modelId="{11E5E6ED-F7E0-416C-98A4-89AEF3D9E184}" type="pres">
      <dgm:prSet presAssocID="{E9D91247-F118-447D-A90C-DCEAD3240729}" presName="hierChild3" presStyleCnt="0"/>
      <dgm:spPr/>
    </dgm:pt>
    <dgm:pt modelId="{52400D05-091B-41BE-AA52-E97E35C4276A}" type="pres">
      <dgm:prSet presAssocID="{B9A35410-BE1A-4856-B6A3-E5A85793D0EF}" presName="Name25" presStyleLbl="parChTrans1D3" presStyleIdx="0" presStyleCnt="5"/>
      <dgm:spPr/>
    </dgm:pt>
    <dgm:pt modelId="{1770D11A-33B1-4D35-845E-E44839284051}" type="pres">
      <dgm:prSet presAssocID="{B9A35410-BE1A-4856-B6A3-E5A85793D0EF}" presName="connTx" presStyleLbl="parChTrans1D3" presStyleIdx="0" presStyleCnt="5"/>
      <dgm:spPr/>
    </dgm:pt>
    <dgm:pt modelId="{E900DA32-DF14-4760-B2AA-9ED5CE3080FE}" type="pres">
      <dgm:prSet presAssocID="{181E93A3-7F6E-424D-8689-1FBAA36D9620}" presName="Name30" presStyleCnt="0"/>
      <dgm:spPr/>
    </dgm:pt>
    <dgm:pt modelId="{3F796117-F3C0-458B-9E4C-84FE5105D257}" type="pres">
      <dgm:prSet presAssocID="{181E93A3-7F6E-424D-8689-1FBAA36D9620}" presName="level2Shape" presStyleLbl="node3" presStyleIdx="0" presStyleCnt="5" custScaleX="156924" custLinFactNeighborX="694" custLinFactNeighborY="-49936"/>
      <dgm:spPr>
        <a:prstGeom prst="flowChartAlternateProcess">
          <a:avLst/>
        </a:prstGeom>
      </dgm:spPr>
    </dgm:pt>
    <dgm:pt modelId="{47A69069-0C61-4D28-A402-35F23DD32774}" type="pres">
      <dgm:prSet presAssocID="{181E93A3-7F6E-424D-8689-1FBAA36D9620}" presName="hierChild3" presStyleCnt="0"/>
      <dgm:spPr/>
    </dgm:pt>
    <dgm:pt modelId="{9DAF94B6-B328-43A9-9B02-B66C46B1A5E2}" type="pres">
      <dgm:prSet presAssocID="{2BF857FB-0556-44D3-A666-D2D06E469232}" presName="Name25" presStyleLbl="parChTrans1D3" presStyleIdx="1" presStyleCnt="5"/>
      <dgm:spPr/>
    </dgm:pt>
    <dgm:pt modelId="{2DEFC6DC-CF71-45A5-B00B-1E770D0CFDAD}" type="pres">
      <dgm:prSet presAssocID="{2BF857FB-0556-44D3-A666-D2D06E469232}" presName="connTx" presStyleLbl="parChTrans1D3" presStyleIdx="1" presStyleCnt="5"/>
      <dgm:spPr/>
    </dgm:pt>
    <dgm:pt modelId="{864DE9D1-F102-4229-9C31-D38E909A3759}" type="pres">
      <dgm:prSet presAssocID="{88314AAB-3E43-4B8C-AD92-65186592FC8F}" presName="Name30" presStyleCnt="0"/>
      <dgm:spPr/>
    </dgm:pt>
    <dgm:pt modelId="{CD379ED6-D4B0-40FB-AD88-45A06AD75910}" type="pres">
      <dgm:prSet presAssocID="{88314AAB-3E43-4B8C-AD92-65186592FC8F}" presName="level2Shape" presStyleLbl="node3" presStyleIdx="1" presStyleCnt="5" custScaleX="159932" custLinFactNeighborY="-34678"/>
      <dgm:spPr>
        <a:prstGeom prst="flowChartAlternateProcess">
          <a:avLst/>
        </a:prstGeom>
      </dgm:spPr>
    </dgm:pt>
    <dgm:pt modelId="{F7843F80-7765-4356-9471-E88F91D1CF28}" type="pres">
      <dgm:prSet presAssocID="{88314AAB-3E43-4B8C-AD92-65186592FC8F}" presName="hierChild3" presStyleCnt="0"/>
      <dgm:spPr/>
    </dgm:pt>
    <dgm:pt modelId="{CD39D1E0-BAFA-4282-9069-E12FA2A9ED6A}" type="pres">
      <dgm:prSet presAssocID="{ABB93559-6D21-43D3-B724-13AB214FF007}" presName="Name25" presStyleLbl="parChTrans1D3" presStyleIdx="2" presStyleCnt="5"/>
      <dgm:spPr/>
    </dgm:pt>
    <dgm:pt modelId="{926F47B8-4E55-484E-A1B5-C720502FA0B6}" type="pres">
      <dgm:prSet presAssocID="{ABB93559-6D21-43D3-B724-13AB214FF007}" presName="connTx" presStyleLbl="parChTrans1D3" presStyleIdx="2" presStyleCnt="5"/>
      <dgm:spPr/>
    </dgm:pt>
    <dgm:pt modelId="{62A59442-C8A6-4050-A7B1-0004A64A7A29}" type="pres">
      <dgm:prSet presAssocID="{352EEBB9-1F1C-482E-94F9-7F5DBF045EDD}" presName="Name30" presStyleCnt="0"/>
      <dgm:spPr/>
    </dgm:pt>
    <dgm:pt modelId="{1BAAF516-C7F2-4667-8F11-154843D8E091}" type="pres">
      <dgm:prSet presAssocID="{352EEBB9-1F1C-482E-94F9-7F5DBF045EDD}" presName="level2Shape" presStyleLbl="node3" presStyleIdx="2" presStyleCnt="5" custScaleX="158501" custLinFactNeighborY="-15258"/>
      <dgm:spPr>
        <a:prstGeom prst="flowChartAlternateProcess">
          <a:avLst/>
        </a:prstGeom>
      </dgm:spPr>
    </dgm:pt>
    <dgm:pt modelId="{0C285791-A17E-48C8-8A93-D09754D1D5FF}" type="pres">
      <dgm:prSet presAssocID="{352EEBB9-1F1C-482E-94F9-7F5DBF045EDD}" presName="hierChild3" presStyleCnt="0"/>
      <dgm:spPr/>
    </dgm:pt>
    <dgm:pt modelId="{0C1F1798-3416-49D7-BD3E-E84B58E13DAD}" type="pres">
      <dgm:prSet presAssocID="{B7F79038-E349-486F-91FB-33BA8725BC2A}" presName="Name25" presStyleLbl="parChTrans1D3" presStyleIdx="3" presStyleCnt="5"/>
      <dgm:spPr/>
    </dgm:pt>
    <dgm:pt modelId="{1417A215-951D-43B1-AE53-5DD2D9C43930}" type="pres">
      <dgm:prSet presAssocID="{B7F79038-E349-486F-91FB-33BA8725BC2A}" presName="connTx" presStyleLbl="parChTrans1D3" presStyleIdx="3" presStyleCnt="5"/>
      <dgm:spPr/>
    </dgm:pt>
    <dgm:pt modelId="{AE246AE1-04E8-4223-A2ED-854E6A545A6C}" type="pres">
      <dgm:prSet presAssocID="{F49014BD-D9FC-495D-870F-9E22DB3F48E1}" presName="Name30" presStyleCnt="0"/>
      <dgm:spPr/>
    </dgm:pt>
    <dgm:pt modelId="{018274AD-B94B-49BF-A286-DF427BF0D4AD}" type="pres">
      <dgm:prSet presAssocID="{F49014BD-D9FC-495D-870F-9E22DB3F48E1}" presName="level2Shape" presStyleLbl="node3" presStyleIdx="3" presStyleCnt="5" custScaleX="157446"/>
      <dgm:spPr>
        <a:prstGeom prst="flowChartAlternateProcess">
          <a:avLst/>
        </a:prstGeom>
      </dgm:spPr>
    </dgm:pt>
    <dgm:pt modelId="{4C4CCBC1-57CC-458D-9286-BC6AEC45F1DD}" type="pres">
      <dgm:prSet presAssocID="{F49014BD-D9FC-495D-870F-9E22DB3F48E1}" presName="hierChild3" presStyleCnt="0"/>
      <dgm:spPr/>
    </dgm:pt>
    <dgm:pt modelId="{C1176CAC-ADB4-44D6-B4A6-94C8A29B7D81}" type="pres">
      <dgm:prSet presAssocID="{943EB31F-B2D7-49D6-8CDD-6414260B785D}" presName="Name25" presStyleLbl="parChTrans1D3" presStyleIdx="4" presStyleCnt="5"/>
      <dgm:spPr/>
    </dgm:pt>
    <dgm:pt modelId="{94438A8B-13E3-4374-B7FB-916D63F6C043}" type="pres">
      <dgm:prSet presAssocID="{943EB31F-B2D7-49D6-8CDD-6414260B785D}" presName="connTx" presStyleLbl="parChTrans1D3" presStyleIdx="4" presStyleCnt="5"/>
      <dgm:spPr/>
    </dgm:pt>
    <dgm:pt modelId="{544A5FE4-3126-48B9-85BE-974BFA3DA566}" type="pres">
      <dgm:prSet presAssocID="{776708B1-A768-41BB-9E2B-932B8A418C33}" presName="Name30" presStyleCnt="0"/>
      <dgm:spPr/>
    </dgm:pt>
    <dgm:pt modelId="{D6DCC517-E673-45BB-8274-0D301D52BE9C}" type="pres">
      <dgm:prSet presAssocID="{776708B1-A768-41BB-9E2B-932B8A418C33}" presName="level2Shape" presStyleLbl="node3" presStyleIdx="4" presStyleCnt="5" custScaleX="156174"/>
      <dgm:spPr/>
    </dgm:pt>
    <dgm:pt modelId="{45F7E6E5-BBB7-4B08-B01C-307FF44E6321}" type="pres">
      <dgm:prSet presAssocID="{776708B1-A768-41BB-9E2B-932B8A418C33}" presName="hierChild3" presStyleCnt="0"/>
      <dgm:spPr/>
    </dgm:pt>
    <dgm:pt modelId="{2B4A23D1-5817-453F-9B50-E006C9CA0F76}" type="pres">
      <dgm:prSet presAssocID="{4FB852D8-AADA-4247-B2D8-162656071DC3}" presName="bgShapesFlow" presStyleCnt="0"/>
      <dgm:spPr/>
    </dgm:pt>
    <dgm:pt modelId="{F134B20F-291A-47DA-8388-55D877B64473}" type="pres">
      <dgm:prSet presAssocID="{FB5F5B7F-484E-4EED-9615-EDB82546C1D7}" presName="rectComp" presStyleCnt="0"/>
      <dgm:spPr/>
    </dgm:pt>
    <dgm:pt modelId="{58CFBB39-9787-4E23-A4D3-E8A0819916F9}" type="pres">
      <dgm:prSet presAssocID="{FB5F5B7F-484E-4EED-9615-EDB82546C1D7}" presName="bgRect" presStyleLbl="bgShp" presStyleIdx="0" presStyleCnt="3"/>
      <dgm:spPr/>
    </dgm:pt>
    <dgm:pt modelId="{58FD98B2-2575-49E5-B375-37949B0004DC}" type="pres">
      <dgm:prSet presAssocID="{FB5F5B7F-484E-4EED-9615-EDB82546C1D7}" presName="bgRectTx" presStyleLbl="bgShp" presStyleIdx="0" presStyleCnt="3">
        <dgm:presLayoutVars>
          <dgm:bulletEnabled val="1"/>
        </dgm:presLayoutVars>
      </dgm:prSet>
      <dgm:spPr/>
    </dgm:pt>
    <dgm:pt modelId="{BA7C572F-1A51-4E7A-9C5A-1E5BB2483166}" type="pres">
      <dgm:prSet presAssocID="{FB5F5B7F-484E-4EED-9615-EDB82546C1D7}" presName="spComp" presStyleCnt="0"/>
      <dgm:spPr/>
    </dgm:pt>
    <dgm:pt modelId="{379CA4FA-8723-4088-8EFC-51DA54B5DABA}" type="pres">
      <dgm:prSet presAssocID="{FB5F5B7F-484E-4EED-9615-EDB82546C1D7}" presName="hSp" presStyleCnt="0"/>
      <dgm:spPr/>
    </dgm:pt>
    <dgm:pt modelId="{22FD639D-03E3-48BF-B27E-40369DB84945}" type="pres">
      <dgm:prSet presAssocID="{266C2AE2-CFFE-4182-801B-359628575A81}" presName="rectComp" presStyleCnt="0"/>
      <dgm:spPr/>
    </dgm:pt>
    <dgm:pt modelId="{F4DA2FB0-28CB-4E42-BCD3-F6D15E6959CB}" type="pres">
      <dgm:prSet presAssocID="{266C2AE2-CFFE-4182-801B-359628575A81}" presName="bgRect" presStyleLbl="bgShp" presStyleIdx="1" presStyleCnt="3"/>
      <dgm:spPr/>
    </dgm:pt>
    <dgm:pt modelId="{3E91D5F2-3604-4E77-8448-2B2F49B82FD9}" type="pres">
      <dgm:prSet presAssocID="{266C2AE2-CFFE-4182-801B-359628575A81}" presName="bgRectTx" presStyleLbl="bgShp" presStyleIdx="1" presStyleCnt="3">
        <dgm:presLayoutVars>
          <dgm:bulletEnabled val="1"/>
        </dgm:presLayoutVars>
      </dgm:prSet>
      <dgm:spPr/>
    </dgm:pt>
    <dgm:pt modelId="{D10FBE66-A73E-482E-B66B-99463CC0492F}" type="pres">
      <dgm:prSet presAssocID="{266C2AE2-CFFE-4182-801B-359628575A81}" presName="spComp" presStyleCnt="0"/>
      <dgm:spPr/>
    </dgm:pt>
    <dgm:pt modelId="{584B8EB4-8E8A-45BD-9B6C-5A3A6CB63C21}" type="pres">
      <dgm:prSet presAssocID="{266C2AE2-CFFE-4182-801B-359628575A81}" presName="hSp" presStyleCnt="0"/>
      <dgm:spPr/>
    </dgm:pt>
    <dgm:pt modelId="{61D182A3-8560-49CE-88EA-10CAD6B4C399}" type="pres">
      <dgm:prSet presAssocID="{78669AE5-42AF-45D3-AC2A-533B13E152E9}" presName="rectComp" presStyleCnt="0"/>
      <dgm:spPr/>
    </dgm:pt>
    <dgm:pt modelId="{CFF60740-F6B4-4D32-B6D6-948BB746E631}" type="pres">
      <dgm:prSet presAssocID="{78669AE5-42AF-45D3-AC2A-533B13E152E9}" presName="bgRect" presStyleLbl="bgShp" presStyleIdx="2" presStyleCnt="3" custScaleX="145343"/>
      <dgm:spPr/>
    </dgm:pt>
    <dgm:pt modelId="{DC2344A8-4DB1-4564-B493-27A722FF162C}" type="pres">
      <dgm:prSet presAssocID="{78669AE5-42AF-45D3-AC2A-533B13E152E9}" presName="bgRectTx" presStyleLbl="bgShp" presStyleIdx="2" presStyleCnt="3">
        <dgm:presLayoutVars>
          <dgm:bulletEnabled val="1"/>
        </dgm:presLayoutVars>
      </dgm:prSet>
      <dgm:spPr/>
    </dgm:pt>
  </dgm:ptLst>
  <dgm:cxnLst>
    <dgm:cxn modelId="{D41FAA04-3333-FA4B-B0D6-32CB5C31548E}" type="presOf" srcId="{FB5F5B7F-484E-4EED-9615-EDB82546C1D7}" destId="{58CFBB39-9787-4E23-A4D3-E8A0819916F9}" srcOrd="0" destOrd="0" presId="urn:microsoft.com/office/officeart/2005/8/layout/hierarchy5"/>
    <dgm:cxn modelId="{56F89215-B910-40F7-9EF5-1D93853D81C7}" srcId="{E9D91247-F118-447D-A90C-DCEAD3240729}" destId="{181E93A3-7F6E-424D-8689-1FBAA36D9620}" srcOrd="0" destOrd="0" parTransId="{B9A35410-BE1A-4856-B6A3-E5A85793D0EF}" sibTransId="{2686D9CB-D62C-431C-B75C-5D7387A4EF2C}"/>
    <dgm:cxn modelId="{0EFCB31A-E6C1-F043-9798-08F8BCF79FD6}" type="presOf" srcId="{B9A35410-BE1A-4856-B6A3-E5A85793D0EF}" destId="{1770D11A-33B1-4D35-845E-E44839284051}" srcOrd="1" destOrd="0" presId="urn:microsoft.com/office/officeart/2005/8/layout/hierarchy5"/>
    <dgm:cxn modelId="{62995922-976C-9D4D-AABB-15C870EA12BC}" type="presOf" srcId="{B7F79038-E349-486F-91FB-33BA8725BC2A}" destId="{1417A215-951D-43B1-AE53-5DD2D9C43930}" srcOrd="1" destOrd="0" presId="urn:microsoft.com/office/officeart/2005/8/layout/hierarchy5"/>
    <dgm:cxn modelId="{923CD932-048E-4A48-AD19-2FDC44817356}" type="presOf" srcId="{961A9BFF-624C-4866-947E-5BCBCA50B414}" destId="{016CB1DC-538E-449F-948D-4D81D5473676}" srcOrd="1" destOrd="0" presId="urn:microsoft.com/office/officeart/2005/8/layout/hierarchy5"/>
    <dgm:cxn modelId="{2671D235-E181-4CD7-8CE6-01D2ACFE6B30}" srcId="{E9D91247-F118-447D-A90C-DCEAD3240729}" destId="{88314AAB-3E43-4B8C-AD92-65186592FC8F}" srcOrd="1" destOrd="0" parTransId="{2BF857FB-0556-44D3-A666-D2D06E469232}" sibTransId="{8588BE21-8B03-4BFE-A734-6925CE72625A}"/>
    <dgm:cxn modelId="{5B0AF939-92DE-4744-A784-4B4C73BAA298}" type="presOf" srcId="{352EEBB9-1F1C-482E-94F9-7F5DBF045EDD}" destId="{1BAAF516-C7F2-4667-8F11-154843D8E091}" srcOrd="0" destOrd="0" presId="urn:microsoft.com/office/officeart/2005/8/layout/hierarchy5"/>
    <dgm:cxn modelId="{19F5895B-E88F-4FD4-9B22-CA7383FF7417}" srcId="{4FB852D8-AADA-4247-B2D8-162656071DC3}" destId="{266C2AE2-CFFE-4182-801B-359628575A81}" srcOrd="2" destOrd="0" parTransId="{ED336009-142C-4231-98A1-425E93FE1993}" sibTransId="{64EEBB87-276F-4266-BA5E-4AF0B0BE6591}"/>
    <dgm:cxn modelId="{84EB1760-2743-4609-8C6A-7645A45032FF}" srcId="{E9D91247-F118-447D-A90C-DCEAD3240729}" destId="{776708B1-A768-41BB-9E2B-932B8A418C33}" srcOrd="4" destOrd="0" parTransId="{943EB31F-B2D7-49D6-8CDD-6414260B785D}" sibTransId="{1E3DD07B-78FD-40BF-9028-42C10962CFFA}"/>
    <dgm:cxn modelId="{95B1FA61-5B5F-4469-9F2C-DD4F95A3B640}" srcId="{4FB852D8-AADA-4247-B2D8-162656071DC3}" destId="{78669AE5-42AF-45D3-AC2A-533B13E152E9}" srcOrd="3" destOrd="0" parTransId="{5E690B64-201F-42BB-B7AA-ABAD7CD55A56}" sibTransId="{698E581C-C5D8-479D-8E0F-A971A437C887}"/>
    <dgm:cxn modelId="{288F9D44-6850-A743-B76B-B7C120B89CD1}" type="presOf" srcId="{15CC8D2D-8CD4-43ED-95E4-6B5114316781}" destId="{6CB256D6-FCCF-4A31-ADDF-DB035C701CA2}" srcOrd="0" destOrd="0" presId="urn:microsoft.com/office/officeart/2005/8/layout/hierarchy5"/>
    <dgm:cxn modelId="{8C93C665-617B-934A-AD66-514BE3F57AD2}" type="presOf" srcId="{ABB93559-6D21-43D3-B724-13AB214FF007}" destId="{CD39D1E0-BAFA-4282-9069-E12FA2A9ED6A}" srcOrd="0" destOrd="0" presId="urn:microsoft.com/office/officeart/2005/8/layout/hierarchy5"/>
    <dgm:cxn modelId="{DCA1A146-096B-734B-97AB-B4A47558C870}" type="presOf" srcId="{961A9BFF-624C-4866-947E-5BCBCA50B414}" destId="{C0F6EC62-D98C-4AD4-A855-EC4D1137D1D1}" srcOrd="0" destOrd="0" presId="urn:microsoft.com/office/officeart/2005/8/layout/hierarchy5"/>
    <dgm:cxn modelId="{582A3747-219B-A04B-84DA-BCB271329249}" type="presOf" srcId="{78669AE5-42AF-45D3-AC2A-533B13E152E9}" destId="{DC2344A8-4DB1-4564-B493-27A722FF162C}" srcOrd="1" destOrd="0" presId="urn:microsoft.com/office/officeart/2005/8/layout/hierarchy5"/>
    <dgm:cxn modelId="{3B7EA167-DF23-EE46-81FA-B5C57D7E56B7}" type="presOf" srcId="{B9A35410-BE1A-4856-B6A3-E5A85793D0EF}" destId="{52400D05-091B-41BE-AA52-E97E35C4276A}" srcOrd="0" destOrd="0" presId="urn:microsoft.com/office/officeart/2005/8/layout/hierarchy5"/>
    <dgm:cxn modelId="{0A4E5469-0F93-0542-BBA5-42053EE46131}" type="presOf" srcId="{266C2AE2-CFFE-4182-801B-359628575A81}" destId="{F4DA2FB0-28CB-4E42-BCD3-F6D15E6959CB}" srcOrd="0" destOrd="0" presId="urn:microsoft.com/office/officeart/2005/8/layout/hierarchy5"/>
    <dgm:cxn modelId="{FE03416C-E57D-6443-83F4-62A5898D7DE1}" type="presOf" srcId="{4FB852D8-AADA-4247-B2D8-162656071DC3}" destId="{B1691514-1EB5-4542-A0F3-B8EE1F658E29}" srcOrd="0" destOrd="0" presId="urn:microsoft.com/office/officeart/2005/8/layout/hierarchy5"/>
    <dgm:cxn modelId="{DC226670-AE66-44D1-9D1B-F72274762B1B}" srcId="{4FB852D8-AADA-4247-B2D8-162656071DC3}" destId="{FB5F5B7F-484E-4EED-9615-EDB82546C1D7}" srcOrd="1" destOrd="0" parTransId="{EF6ECCF6-7302-4BE8-90AD-C9283006AFF8}" sibTransId="{D1470D02-27ED-4CA1-B5A5-6F142567EC6B}"/>
    <dgm:cxn modelId="{4B5DDC53-4B2D-4ED9-9680-F54E6741878B}" srcId="{E9D91247-F118-447D-A90C-DCEAD3240729}" destId="{352EEBB9-1F1C-482E-94F9-7F5DBF045EDD}" srcOrd="2" destOrd="0" parTransId="{ABB93559-6D21-43D3-B724-13AB214FF007}" sibTransId="{5251D3D5-1B63-4967-AE07-179A067C462F}"/>
    <dgm:cxn modelId="{3E7D7A80-90E2-9A49-9E37-309050B4877F}" type="presOf" srcId="{2BF857FB-0556-44D3-A666-D2D06E469232}" destId="{2DEFC6DC-CF71-45A5-B00B-1E770D0CFDAD}" srcOrd="1" destOrd="0" presId="urn:microsoft.com/office/officeart/2005/8/layout/hierarchy5"/>
    <dgm:cxn modelId="{E96B0186-F9AF-504B-A3E0-3EB354611A75}" type="presOf" srcId="{266C2AE2-CFFE-4182-801B-359628575A81}" destId="{3E91D5F2-3604-4E77-8448-2B2F49B82FD9}" srcOrd="1" destOrd="0" presId="urn:microsoft.com/office/officeart/2005/8/layout/hierarchy5"/>
    <dgm:cxn modelId="{30DAA58B-8400-4143-B966-581DC7129B61}" type="presOf" srcId="{E9D91247-F118-447D-A90C-DCEAD3240729}" destId="{CCAFF023-0A9F-4BE2-B691-30F87D16E209}" srcOrd="0" destOrd="0" presId="urn:microsoft.com/office/officeart/2005/8/layout/hierarchy5"/>
    <dgm:cxn modelId="{EE2FFF91-9DAB-5D41-9DC4-AEAEEB20DA66}" type="presOf" srcId="{181E93A3-7F6E-424D-8689-1FBAA36D9620}" destId="{3F796117-F3C0-458B-9E4C-84FE5105D257}" srcOrd="0" destOrd="0" presId="urn:microsoft.com/office/officeart/2005/8/layout/hierarchy5"/>
    <dgm:cxn modelId="{8D2A6994-363D-5B4E-85AE-12FB07C72084}" type="presOf" srcId="{FB5F5B7F-484E-4EED-9615-EDB82546C1D7}" destId="{58FD98B2-2575-49E5-B375-37949B0004DC}" srcOrd="1" destOrd="0" presId="urn:microsoft.com/office/officeart/2005/8/layout/hierarchy5"/>
    <dgm:cxn modelId="{E19AFF9A-4ED8-4A45-99A1-9C679F3C3E4A}" type="presOf" srcId="{943EB31F-B2D7-49D6-8CDD-6414260B785D}" destId="{94438A8B-13E3-4374-B7FB-916D63F6C043}" srcOrd="1" destOrd="0" presId="urn:microsoft.com/office/officeart/2005/8/layout/hierarchy5"/>
    <dgm:cxn modelId="{CFAA71A8-1A60-6F4F-816F-836B91E203B4}" type="presOf" srcId="{943EB31F-B2D7-49D6-8CDD-6414260B785D}" destId="{C1176CAC-ADB4-44D6-B4A6-94C8A29B7D81}" srcOrd="0" destOrd="0" presId="urn:microsoft.com/office/officeart/2005/8/layout/hierarchy5"/>
    <dgm:cxn modelId="{AFBE66AE-A602-E545-986C-6EC9EFB39391}" type="presOf" srcId="{88314AAB-3E43-4B8C-AD92-65186592FC8F}" destId="{CD379ED6-D4B0-40FB-AD88-45A06AD75910}" srcOrd="0" destOrd="0" presId="urn:microsoft.com/office/officeart/2005/8/layout/hierarchy5"/>
    <dgm:cxn modelId="{12385BAF-2170-B643-A04B-8F30AF492667}" type="presOf" srcId="{F49014BD-D9FC-495D-870F-9E22DB3F48E1}" destId="{018274AD-B94B-49BF-A286-DF427BF0D4AD}" srcOrd="0" destOrd="0" presId="urn:microsoft.com/office/officeart/2005/8/layout/hierarchy5"/>
    <dgm:cxn modelId="{126D27B0-059D-494F-B241-82769F4D7AEB}" type="presOf" srcId="{2BF857FB-0556-44D3-A666-D2D06E469232}" destId="{9DAF94B6-B328-43A9-9B02-B66C46B1A5E2}" srcOrd="0" destOrd="0" presId="urn:microsoft.com/office/officeart/2005/8/layout/hierarchy5"/>
    <dgm:cxn modelId="{C6530FB9-9786-494D-A977-3339D8729557}" srcId="{4FB852D8-AADA-4247-B2D8-162656071DC3}" destId="{15CC8D2D-8CD4-43ED-95E4-6B5114316781}" srcOrd="0" destOrd="0" parTransId="{166E4CCC-571D-4AA2-A038-EB1CE7DF8BE6}" sibTransId="{1F38C8C0-4D82-4CD4-95F2-9DDB3326175A}"/>
    <dgm:cxn modelId="{6B7CC9BD-B3BE-4009-968A-7597B55A7909}" srcId="{15CC8D2D-8CD4-43ED-95E4-6B5114316781}" destId="{E9D91247-F118-447D-A90C-DCEAD3240729}" srcOrd="0" destOrd="0" parTransId="{961A9BFF-624C-4866-947E-5BCBCA50B414}" sibTransId="{8D66451D-7FBC-4FCE-BC1A-B551548DAFC7}"/>
    <dgm:cxn modelId="{3A998ECD-CF71-6F41-8D89-4ADA82330430}" type="presOf" srcId="{776708B1-A768-41BB-9E2B-932B8A418C33}" destId="{D6DCC517-E673-45BB-8274-0D301D52BE9C}" srcOrd="0" destOrd="0" presId="urn:microsoft.com/office/officeart/2005/8/layout/hierarchy5"/>
    <dgm:cxn modelId="{369029D8-775E-EA48-9C04-5FC113C5262F}" type="presOf" srcId="{ABB93559-6D21-43D3-B724-13AB214FF007}" destId="{926F47B8-4E55-484E-A1B5-C720502FA0B6}" srcOrd="1" destOrd="0" presId="urn:microsoft.com/office/officeart/2005/8/layout/hierarchy5"/>
    <dgm:cxn modelId="{0221CBDE-53A6-7E47-AFDE-7AA900C4EA7A}" type="presOf" srcId="{78669AE5-42AF-45D3-AC2A-533B13E152E9}" destId="{CFF60740-F6B4-4D32-B6D6-948BB746E631}" srcOrd="0" destOrd="0" presId="urn:microsoft.com/office/officeart/2005/8/layout/hierarchy5"/>
    <dgm:cxn modelId="{B7F7B5ED-B054-CA43-9A1A-D1BB23247EF1}" type="presOf" srcId="{B7F79038-E349-486F-91FB-33BA8725BC2A}" destId="{0C1F1798-3416-49D7-BD3E-E84B58E13DAD}" srcOrd="0" destOrd="0" presId="urn:microsoft.com/office/officeart/2005/8/layout/hierarchy5"/>
    <dgm:cxn modelId="{AD7E8CF0-0E16-4E92-8A8F-6FF25EA6E4A4}" srcId="{E9D91247-F118-447D-A90C-DCEAD3240729}" destId="{F49014BD-D9FC-495D-870F-9E22DB3F48E1}" srcOrd="3" destOrd="0" parTransId="{B7F79038-E349-486F-91FB-33BA8725BC2A}" sibTransId="{15A679B4-D447-406D-ACFC-642BE536E7B2}"/>
    <dgm:cxn modelId="{7F727834-3387-8A4D-A8EB-E3EA373738BB}" type="presParOf" srcId="{B1691514-1EB5-4542-A0F3-B8EE1F658E29}" destId="{AAB21038-82AE-4DE3-BC11-48A25577567F}" srcOrd="0" destOrd="0" presId="urn:microsoft.com/office/officeart/2005/8/layout/hierarchy5"/>
    <dgm:cxn modelId="{A353D5C5-1D38-3C42-B746-9F65DDEBF30D}" type="presParOf" srcId="{AAB21038-82AE-4DE3-BC11-48A25577567F}" destId="{968E144C-B2CF-46FB-B4FE-970ED83F3CB2}" srcOrd="0" destOrd="0" presId="urn:microsoft.com/office/officeart/2005/8/layout/hierarchy5"/>
    <dgm:cxn modelId="{05735F74-80A2-1242-B405-2CDD6189C2C0}" type="presParOf" srcId="{AAB21038-82AE-4DE3-BC11-48A25577567F}" destId="{5EA6755E-7E67-4892-A4C1-C941E3D6EC54}" srcOrd="1" destOrd="0" presId="urn:microsoft.com/office/officeart/2005/8/layout/hierarchy5"/>
    <dgm:cxn modelId="{ED22CE13-B7B4-DC44-9048-ACDE678E4F27}" type="presParOf" srcId="{5EA6755E-7E67-4892-A4C1-C941E3D6EC54}" destId="{2302760D-9C70-4791-853A-3C5905929D4F}" srcOrd="0" destOrd="0" presId="urn:microsoft.com/office/officeart/2005/8/layout/hierarchy5"/>
    <dgm:cxn modelId="{3A092A33-C396-894B-8E16-972215FFF354}" type="presParOf" srcId="{2302760D-9C70-4791-853A-3C5905929D4F}" destId="{6CB256D6-FCCF-4A31-ADDF-DB035C701CA2}" srcOrd="0" destOrd="0" presId="urn:microsoft.com/office/officeart/2005/8/layout/hierarchy5"/>
    <dgm:cxn modelId="{53744A4F-9FD5-D34F-B6DD-89478BCD3FC1}" type="presParOf" srcId="{2302760D-9C70-4791-853A-3C5905929D4F}" destId="{D2AA8BED-5161-4DE6-BFEF-251DA6B76FE2}" srcOrd="1" destOrd="0" presId="urn:microsoft.com/office/officeart/2005/8/layout/hierarchy5"/>
    <dgm:cxn modelId="{2FEE170F-B836-F44E-96F9-5214AA97B2D8}" type="presParOf" srcId="{D2AA8BED-5161-4DE6-BFEF-251DA6B76FE2}" destId="{C0F6EC62-D98C-4AD4-A855-EC4D1137D1D1}" srcOrd="0" destOrd="0" presId="urn:microsoft.com/office/officeart/2005/8/layout/hierarchy5"/>
    <dgm:cxn modelId="{FA2943BF-5A1C-3049-B0C8-35F7599F4751}" type="presParOf" srcId="{C0F6EC62-D98C-4AD4-A855-EC4D1137D1D1}" destId="{016CB1DC-538E-449F-948D-4D81D5473676}" srcOrd="0" destOrd="0" presId="urn:microsoft.com/office/officeart/2005/8/layout/hierarchy5"/>
    <dgm:cxn modelId="{C420A263-4F03-9649-9E01-91D449DB5619}" type="presParOf" srcId="{D2AA8BED-5161-4DE6-BFEF-251DA6B76FE2}" destId="{E5D8C0AB-51C1-4D28-B875-BCC300F888BB}" srcOrd="1" destOrd="0" presId="urn:microsoft.com/office/officeart/2005/8/layout/hierarchy5"/>
    <dgm:cxn modelId="{5D80F986-E522-1943-AF73-554CF25EE710}" type="presParOf" srcId="{E5D8C0AB-51C1-4D28-B875-BCC300F888BB}" destId="{CCAFF023-0A9F-4BE2-B691-30F87D16E209}" srcOrd="0" destOrd="0" presId="urn:microsoft.com/office/officeart/2005/8/layout/hierarchy5"/>
    <dgm:cxn modelId="{3ABAFF42-4F87-C541-9DB2-7BA42FC91A30}" type="presParOf" srcId="{E5D8C0AB-51C1-4D28-B875-BCC300F888BB}" destId="{11E5E6ED-F7E0-416C-98A4-89AEF3D9E184}" srcOrd="1" destOrd="0" presId="urn:microsoft.com/office/officeart/2005/8/layout/hierarchy5"/>
    <dgm:cxn modelId="{7DFBA25E-C3E7-0240-A84B-46E672336CDC}" type="presParOf" srcId="{11E5E6ED-F7E0-416C-98A4-89AEF3D9E184}" destId="{52400D05-091B-41BE-AA52-E97E35C4276A}" srcOrd="0" destOrd="0" presId="urn:microsoft.com/office/officeart/2005/8/layout/hierarchy5"/>
    <dgm:cxn modelId="{7D535EF8-3062-554F-BBE0-5B1983F6A885}" type="presParOf" srcId="{52400D05-091B-41BE-AA52-E97E35C4276A}" destId="{1770D11A-33B1-4D35-845E-E44839284051}" srcOrd="0" destOrd="0" presId="urn:microsoft.com/office/officeart/2005/8/layout/hierarchy5"/>
    <dgm:cxn modelId="{1167EB11-EE3D-EA48-9128-C21344DA51D4}" type="presParOf" srcId="{11E5E6ED-F7E0-416C-98A4-89AEF3D9E184}" destId="{E900DA32-DF14-4760-B2AA-9ED5CE3080FE}" srcOrd="1" destOrd="0" presId="urn:microsoft.com/office/officeart/2005/8/layout/hierarchy5"/>
    <dgm:cxn modelId="{FA793317-2D35-BD41-9AC4-D6C6FED8F336}" type="presParOf" srcId="{E900DA32-DF14-4760-B2AA-9ED5CE3080FE}" destId="{3F796117-F3C0-458B-9E4C-84FE5105D257}" srcOrd="0" destOrd="0" presId="urn:microsoft.com/office/officeart/2005/8/layout/hierarchy5"/>
    <dgm:cxn modelId="{39031328-4E36-684C-85C0-79827CB2ACD5}" type="presParOf" srcId="{E900DA32-DF14-4760-B2AA-9ED5CE3080FE}" destId="{47A69069-0C61-4D28-A402-35F23DD32774}" srcOrd="1" destOrd="0" presId="urn:microsoft.com/office/officeart/2005/8/layout/hierarchy5"/>
    <dgm:cxn modelId="{C5F1C247-21FC-5742-8EA2-A9BFA27BC2F0}" type="presParOf" srcId="{11E5E6ED-F7E0-416C-98A4-89AEF3D9E184}" destId="{9DAF94B6-B328-43A9-9B02-B66C46B1A5E2}" srcOrd="2" destOrd="0" presId="urn:microsoft.com/office/officeart/2005/8/layout/hierarchy5"/>
    <dgm:cxn modelId="{AFF98166-B886-C34D-A1D3-2872CC8E1950}" type="presParOf" srcId="{9DAF94B6-B328-43A9-9B02-B66C46B1A5E2}" destId="{2DEFC6DC-CF71-45A5-B00B-1E770D0CFDAD}" srcOrd="0" destOrd="0" presId="urn:microsoft.com/office/officeart/2005/8/layout/hierarchy5"/>
    <dgm:cxn modelId="{934CA1E5-8275-3845-9025-E55D954C4305}" type="presParOf" srcId="{11E5E6ED-F7E0-416C-98A4-89AEF3D9E184}" destId="{864DE9D1-F102-4229-9C31-D38E909A3759}" srcOrd="3" destOrd="0" presId="urn:microsoft.com/office/officeart/2005/8/layout/hierarchy5"/>
    <dgm:cxn modelId="{05F8F7DD-836D-344D-AA07-CCAE79DDA38B}" type="presParOf" srcId="{864DE9D1-F102-4229-9C31-D38E909A3759}" destId="{CD379ED6-D4B0-40FB-AD88-45A06AD75910}" srcOrd="0" destOrd="0" presId="urn:microsoft.com/office/officeart/2005/8/layout/hierarchy5"/>
    <dgm:cxn modelId="{F1DCE449-8577-E54C-BF8D-2127BCBBBB34}" type="presParOf" srcId="{864DE9D1-F102-4229-9C31-D38E909A3759}" destId="{F7843F80-7765-4356-9471-E88F91D1CF28}" srcOrd="1" destOrd="0" presId="urn:microsoft.com/office/officeart/2005/8/layout/hierarchy5"/>
    <dgm:cxn modelId="{12F6BF46-7FE4-524A-B215-E4CFFD3BF5C8}" type="presParOf" srcId="{11E5E6ED-F7E0-416C-98A4-89AEF3D9E184}" destId="{CD39D1E0-BAFA-4282-9069-E12FA2A9ED6A}" srcOrd="4" destOrd="0" presId="urn:microsoft.com/office/officeart/2005/8/layout/hierarchy5"/>
    <dgm:cxn modelId="{C45FA89E-A454-3A49-B53E-84BCC03B2D69}" type="presParOf" srcId="{CD39D1E0-BAFA-4282-9069-E12FA2A9ED6A}" destId="{926F47B8-4E55-484E-A1B5-C720502FA0B6}" srcOrd="0" destOrd="0" presId="urn:microsoft.com/office/officeart/2005/8/layout/hierarchy5"/>
    <dgm:cxn modelId="{B63F9D7F-8FDC-F046-A7F9-42145EA2AF28}" type="presParOf" srcId="{11E5E6ED-F7E0-416C-98A4-89AEF3D9E184}" destId="{62A59442-C8A6-4050-A7B1-0004A64A7A29}" srcOrd="5" destOrd="0" presId="urn:microsoft.com/office/officeart/2005/8/layout/hierarchy5"/>
    <dgm:cxn modelId="{2A2045AE-8CAE-684A-895A-CE25318F483F}" type="presParOf" srcId="{62A59442-C8A6-4050-A7B1-0004A64A7A29}" destId="{1BAAF516-C7F2-4667-8F11-154843D8E091}" srcOrd="0" destOrd="0" presId="urn:microsoft.com/office/officeart/2005/8/layout/hierarchy5"/>
    <dgm:cxn modelId="{C7336D67-0081-5341-A847-E8E56C93DB93}" type="presParOf" srcId="{62A59442-C8A6-4050-A7B1-0004A64A7A29}" destId="{0C285791-A17E-48C8-8A93-D09754D1D5FF}" srcOrd="1" destOrd="0" presId="urn:microsoft.com/office/officeart/2005/8/layout/hierarchy5"/>
    <dgm:cxn modelId="{BCE8A328-E9D8-D04E-AD47-71EF1204CAFD}" type="presParOf" srcId="{11E5E6ED-F7E0-416C-98A4-89AEF3D9E184}" destId="{0C1F1798-3416-49D7-BD3E-E84B58E13DAD}" srcOrd="6" destOrd="0" presId="urn:microsoft.com/office/officeart/2005/8/layout/hierarchy5"/>
    <dgm:cxn modelId="{C6755D7D-5695-8A4D-BD1D-80BA84D2583A}" type="presParOf" srcId="{0C1F1798-3416-49D7-BD3E-E84B58E13DAD}" destId="{1417A215-951D-43B1-AE53-5DD2D9C43930}" srcOrd="0" destOrd="0" presId="urn:microsoft.com/office/officeart/2005/8/layout/hierarchy5"/>
    <dgm:cxn modelId="{00CF1C24-849B-1A46-9B84-06BCFB9DA6D1}" type="presParOf" srcId="{11E5E6ED-F7E0-416C-98A4-89AEF3D9E184}" destId="{AE246AE1-04E8-4223-A2ED-854E6A545A6C}" srcOrd="7" destOrd="0" presId="urn:microsoft.com/office/officeart/2005/8/layout/hierarchy5"/>
    <dgm:cxn modelId="{6B72F628-4926-1A4C-8869-FE3EAFB4931B}" type="presParOf" srcId="{AE246AE1-04E8-4223-A2ED-854E6A545A6C}" destId="{018274AD-B94B-49BF-A286-DF427BF0D4AD}" srcOrd="0" destOrd="0" presId="urn:microsoft.com/office/officeart/2005/8/layout/hierarchy5"/>
    <dgm:cxn modelId="{4A3DC5B4-7BC7-C844-B7D7-DBAAA1C26084}" type="presParOf" srcId="{AE246AE1-04E8-4223-A2ED-854E6A545A6C}" destId="{4C4CCBC1-57CC-458D-9286-BC6AEC45F1DD}" srcOrd="1" destOrd="0" presId="urn:microsoft.com/office/officeart/2005/8/layout/hierarchy5"/>
    <dgm:cxn modelId="{188225AC-B9D3-4C4C-9ECB-B24E7D8398ED}" type="presParOf" srcId="{11E5E6ED-F7E0-416C-98A4-89AEF3D9E184}" destId="{C1176CAC-ADB4-44D6-B4A6-94C8A29B7D81}" srcOrd="8" destOrd="0" presId="urn:microsoft.com/office/officeart/2005/8/layout/hierarchy5"/>
    <dgm:cxn modelId="{0293B9D2-6DD6-B548-A449-E2C907204EB0}" type="presParOf" srcId="{C1176CAC-ADB4-44D6-B4A6-94C8A29B7D81}" destId="{94438A8B-13E3-4374-B7FB-916D63F6C043}" srcOrd="0" destOrd="0" presId="urn:microsoft.com/office/officeart/2005/8/layout/hierarchy5"/>
    <dgm:cxn modelId="{43A0BF01-8D1C-6B4F-8484-BA364D89CD22}" type="presParOf" srcId="{11E5E6ED-F7E0-416C-98A4-89AEF3D9E184}" destId="{544A5FE4-3126-48B9-85BE-974BFA3DA566}" srcOrd="9" destOrd="0" presId="urn:microsoft.com/office/officeart/2005/8/layout/hierarchy5"/>
    <dgm:cxn modelId="{1AFEA8B4-BFB4-EA4A-B0A1-0724976418D0}" type="presParOf" srcId="{544A5FE4-3126-48B9-85BE-974BFA3DA566}" destId="{D6DCC517-E673-45BB-8274-0D301D52BE9C}" srcOrd="0" destOrd="0" presId="urn:microsoft.com/office/officeart/2005/8/layout/hierarchy5"/>
    <dgm:cxn modelId="{35AB2124-1C69-2C4D-BBA1-0E5659A5FF61}" type="presParOf" srcId="{544A5FE4-3126-48B9-85BE-974BFA3DA566}" destId="{45F7E6E5-BBB7-4B08-B01C-307FF44E6321}" srcOrd="1" destOrd="0" presId="urn:microsoft.com/office/officeart/2005/8/layout/hierarchy5"/>
    <dgm:cxn modelId="{CA47E64C-8B6C-8646-9405-51507A8AAF8D}" type="presParOf" srcId="{B1691514-1EB5-4542-A0F3-B8EE1F658E29}" destId="{2B4A23D1-5817-453F-9B50-E006C9CA0F76}" srcOrd="1" destOrd="0" presId="urn:microsoft.com/office/officeart/2005/8/layout/hierarchy5"/>
    <dgm:cxn modelId="{1E45ECD6-35D1-4A40-89DF-0319CED975D5}" type="presParOf" srcId="{2B4A23D1-5817-453F-9B50-E006C9CA0F76}" destId="{F134B20F-291A-47DA-8388-55D877B64473}" srcOrd="0" destOrd="0" presId="urn:microsoft.com/office/officeart/2005/8/layout/hierarchy5"/>
    <dgm:cxn modelId="{D29814FF-FDA1-5744-A93C-EF5979AEA232}" type="presParOf" srcId="{F134B20F-291A-47DA-8388-55D877B64473}" destId="{58CFBB39-9787-4E23-A4D3-E8A0819916F9}" srcOrd="0" destOrd="0" presId="urn:microsoft.com/office/officeart/2005/8/layout/hierarchy5"/>
    <dgm:cxn modelId="{149C8275-6B19-7E49-A656-1DC0BF1375A7}" type="presParOf" srcId="{F134B20F-291A-47DA-8388-55D877B64473}" destId="{58FD98B2-2575-49E5-B375-37949B0004DC}" srcOrd="1" destOrd="0" presId="urn:microsoft.com/office/officeart/2005/8/layout/hierarchy5"/>
    <dgm:cxn modelId="{C84BB01A-12A9-A048-9A74-C1C87F865130}" type="presParOf" srcId="{2B4A23D1-5817-453F-9B50-E006C9CA0F76}" destId="{BA7C572F-1A51-4E7A-9C5A-1E5BB2483166}" srcOrd="1" destOrd="0" presId="urn:microsoft.com/office/officeart/2005/8/layout/hierarchy5"/>
    <dgm:cxn modelId="{C1BCEF38-93B0-EB48-B4EE-18E12A8C3DB3}" type="presParOf" srcId="{BA7C572F-1A51-4E7A-9C5A-1E5BB2483166}" destId="{379CA4FA-8723-4088-8EFC-51DA54B5DABA}" srcOrd="0" destOrd="0" presId="urn:microsoft.com/office/officeart/2005/8/layout/hierarchy5"/>
    <dgm:cxn modelId="{F27B1852-7547-FD4D-AB48-88E59B4CD550}" type="presParOf" srcId="{2B4A23D1-5817-453F-9B50-E006C9CA0F76}" destId="{22FD639D-03E3-48BF-B27E-40369DB84945}" srcOrd="2" destOrd="0" presId="urn:microsoft.com/office/officeart/2005/8/layout/hierarchy5"/>
    <dgm:cxn modelId="{F920D821-D944-8F4C-B8A7-CCEA1702C86B}" type="presParOf" srcId="{22FD639D-03E3-48BF-B27E-40369DB84945}" destId="{F4DA2FB0-28CB-4E42-BCD3-F6D15E6959CB}" srcOrd="0" destOrd="0" presId="urn:microsoft.com/office/officeart/2005/8/layout/hierarchy5"/>
    <dgm:cxn modelId="{05CCE7C8-4E3E-DA41-B822-1805A41245DA}" type="presParOf" srcId="{22FD639D-03E3-48BF-B27E-40369DB84945}" destId="{3E91D5F2-3604-4E77-8448-2B2F49B82FD9}" srcOrd="1" destOrd="0" presId="urn:microsoft.com/office/officeart/2005/8/layout/hierarchy5"/>
    <dgm:cxn modelId="{662A942F-F642-4F42-AD4A-E527E04EF989}" type="presParOf" srcId="{2B4A23D1-5817-453F-9B50-E006C9CA0F76}" destId="{D10FBE66-A73E-482E-B66B-99463CC0492F}" srcOrd="3" destOrd="0" presId="urn:microsoft.com/office/officeart/2005/8/layout/hierarchy5"/>
    <dgm:cxn modelId="{D12416C5-B94B-ED4E-8DC8-103963E34424}" type="presParOf" srcId="{D10FBE66-A73E-482E-B66B-99463CC0492F}" destId="{584B8EB4-8E8A-45BD-9B6C-5A3A6CB63C21}" srcOrd="0" destOrd="0" presId="urn:microsoft.com/office/officeart/2005/8/layout/hierarchy5"/>
    <dgm:cxn modelId="{533B22B4-8FCC-1244-BA24-A7C1CC62255D}" type="presParOf" srcId="{2B4A23D1-5817-453F-9B50-E006C9CA0F76}" destId="{61D182A3-8560-49CE-88EA-10CAD6B4C399}" srcOrd="4" destOrd="0" presId="urn:microsoft.com/office/officeart/2005/8/layout/hierarchy5"/>
    <dgm:cxn modelId="{DB4ACADC-488B-2948-8804-89B10A205273}" type="presParOf" srcId="{61D182A3-8560-49CE-88EA-10CAD6B4C399}" destId="{CFF60740-F6B4-4D32-B6D6-948BB746E631}" srcOrd="0" destOrd="0" presId="urn:microsoft.com/office/officeart/2005/8/layout/hierarchy5"/>
    <dgm:cxn modelId="{1C0CD637-A6A6-8449-8F22-2D4353ABAE82}" type="presParOf" srcId="{61D182A3-8560-49CE-88EA-10CAD6B4C399}" destId="{DC2344A8-4DB1-4564-B493-27A722FF162C}" srcOrd="1" destOrd="0" presId="urn:microsoft.com/office/officeart/2005/8/layout/hierarchy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60740-F6B4-4D32-B6D6-948BB746E631}">
      <dsp:nvSpPr>
        <dsp:cNvPr id="0" name=""/>
        <dsp:cNvSpPr/>
      </dsp:nvSpPr>
      <dsp:spPr>
        <a:xfrm>
          <a:off x="2408491" y="0"/>
          <a:ext cx="1317673" cy="3206750"/>
        </a:xfrm>
        <a:prstGeom prst="roundRect">
          <a:avLst>
            <a:gd name="adj" fmla="val 10000"/>
          </a:avLst>
        </a:prstGeom>
        <a:gradFill rotWithShape="0">
          <a:gsLst>
            <a:gs pos="0">
              <a:srgbClr val="4472C4">
                <a:tint val="40000"/>
                <a:hueOff val="0"/>
                <a:satOff val="0"/>
                <a:lumOff val="0"/>
                <a:alphaOff val="0"/>
                <a:satMod val="103000"/>
                <a:lumMod val="102000"/>
                <a:tint val="94000"/>
              </a:srgbClr>
            </a:gs>
            <a:gs pos="50000">
              <a:srgbClr val="4472C4">
                <a:tint val="40000"/>
                <a:hueOff val="0"/>
                <a:satOff val="0"/>
                <a:lumOff val="0"/>
                <a:alphaOff val="0"/>
                <a:satMod val="110000"/>
                <a:lumMod val="100000"/>
                <a:shade val="100000"/>
              </a:srgbClr>
            </a:gs>
            <a:gs pos="100000">
              <a:srgbClr val="4472C4">
                <a:tint val="40000"/>
                <a:hueOff val="0"/>
                <a:satOff val="0"/>
                <a:lumOff val="0"/>
                <a:alphaOff val="0"/>
                <a:lumMod val="99000"/>
                <a:satMod val="120000"/>
                <a:shade val="78000"/>
              </a:srgb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panose="020F0502020204030204"/>
              <a:ea typeface="+mn-ea"/>
              <a:cs typeface="+mn-cs"/>
            </a:rPr>
            <a:t>RISK IDENTIFICATION AND TREATMENT</a:t>
          </a:r>
        </a:p>
      </dsp:txBody>
      <dsp:txXfrm>
        <a:off x="2436668" y="28177"/>
        <a:ext cx="1261319" cy="905671"/>
      </dsp:txXfrm>
    </dsp:sp>
    <dsp:sp modelId="{F4DA2FB0-28CB-4E42-BCD3-F6D15E6959CB}">
      <dsp:nvSpPr>
        <dsp:cNvPr id="0" name=""/>
        <dsp:cNvSpPr/>
      </dsp:nvSpPr>
      <dsp:spPr>
        <a:xfrm>
          <a:off x="1350796" y="0"/>
          <a:ext cx="906595" cy="3206750"/>
        </a:xfrm>
        <a:prstGeom prst="roundRect">
          <a:avLst>
            <a:gd name="adj" fmla="val 10000"/>
          </a:avLst>
        </a:prstGeom>
        <a:gradFill rotWithShape="0">
          <a:gsLst>
            <a:gs pos="0">
              <a:srgbClr val="4472C4">
                <a:tint val="40000"/>
                <a:hueOff val="0"/>
                <a:satOff val="0"/>
                <a:lumOff val="0"/>
                <a:alphaOff val="0"/>
                <a:satMod val="103000"/>
                <a:lumMod val="102000"/>
                <a:tint val="94000"/>
              </a:srgbClr>
            </a:gs>
            <a:gs pos="50000">
              <a:srgbClr val="4472C4">
                <a:tint val="40000"/>
                <a:hueOff val="0"/>
                <a:satOff val="0"/>
                <a:lumOff val="0"/>
                <a:alphaOff val="0"/>
                <a:satMod val="110000"/>
                <a:lumMod val="100000"/>
                <a:shade val="100000"/>
              </a:srgbClr>
            </a:gs>
            <a:gs pos="100000">
              <a:srgbClr val="4472C4">
                <a:tint val="40000"/>
                <a:hueOff val="0"/>
                <a:satOff val="0"/>
                <a:lumOff val="0"/>
                <a:alphaOff val="0"/>
                <a:lumMod val="99000"/>
                <a:satMod val="120000"/>
                <a:shade val="78000"/>
              </a:srgb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panose="020F0502020204030204"/>
              <a:ea typeface="+mn-ea"/>
              <a:cs typeface="+mn-cs"/>
            </a:rPr>
            <a:t>RISK ANALYSIS, EVALUATION. RECOMMENDATION  AND MONITORING </a:t>
          </a:r>
        </a:p>
      </dsp:txBody>
      <dsp:txXfrm>
        <a:off x="1377349" y="26553"/>
        <a:ext cx="853489" cy="908919"/>
      </dsp:txXfrm>
    </dsp:sp>
    <dsp:sp modelId="{58CFBB39-9787-4E23-A4D3-E8A0819916F9}">
      <dsp:nvSpPr>
        <dsp:cNvPr id="0" name=""/>
        <dsp:cNvSpPr/>
      </dsp:nvSpPr>
      <dsp:spPr>
        <a:xfrm>
          <a:off x="293101" y="0"/>
          <a:ext cx="906595" cy="3206750"/>
        </a:xfrm>
        <a:prstGeom prst="roundRect">
          <a:avLst>
            <a:gd name="adj" fmla="val 10000"/>
          </a:avLst>
        </a:prstGeom>
        <a:gradFill rotWithShape="0">
          <a:gsLst>
            <a:gs pos="0">
              <a:srgbClr val="4472C4">
                <a:tint val="40000"/>
                <a:hueOff val="0"/>
                <a:satOff val="0"/>
                <a:lumOff val="0"/>
                <a:alphaOff val="0"/>
                <a:satMod val="103000"/>
                <a:lumMod val="102000"/>
                <a:tint val="94000"/>
              </a:srgbClr>
            </a:gs>
            <a:gs pos="50000">
              <a:srgbClr val="4472C4">
                <a:tint val="40000"/>
                <a:hueOff val="0"/>
                <a:satOff val="0"/>
                <a:lumOff val="0"/>
                <a:alphaOff val="0"/>
                <a:satMod val="110000"/>
                <a:lumMod val="100000"/>
                <a:shade val="100000"/>
              </a:srgbClr>
            </a:gs>
            <a:gs pos="100000">
              <a:srgbClr val="4472C4">
                <a:tint val="40000"/>
                <a:hueOff val="0"/>
                <a:satOff val="0"/>
                <a:lumOff val="0"/>
                <a:alphaOff val="0"/>
                <a:lumMod val="99000"/>
                <a:satMod val="120000"/>
                <a:shade val="78000"/>
              </a:srgb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panose="020F0502020204030204"/>
              <a:ea typeface="+mn-ea"/>
              <a:cs typeface="+mn-cs"/>
            </a:rPr>
            <a:t>RISK </a:t>
          </a:r>
          <a:r>
            <a:rPr lang="en-US" sz="1000" b="1" kern="1200">
              <a:solidFill>
                <a:sysClr val="windowText" lastClr="000000">
                  <a:hueOff val="0"/>
                  <a:satOff val="0"/>
                  <a:lumOff val="0"/>
                  <a:alphaOff val="0"/>
                </a:sysClr>
              </a:solidFill>
              <a:latin typeface="Calibri" panose="020F0502020204030204"/>
              <a:ea typeface="+mn-ea"/>
              <a:cs typeface="+mn-cs"/>
            </a:rPr>
            <a:t>REPORTING AND DECISION MAKING</a:t>
          </a:r>
        </a:p>
      </dsp:txBody>
      <dsp:txXfrm>
        <a:off x="319654" y="26553"/>
        <a:ext cx="853489" cy="908919"/>
      </dsp:txXfrm>
    </dsp:sp>
    <dsp:sp modelId="{6CB256D6-FCCF-4A31-ADDF-DB035C701CA2}">
      <dsp:nvSpPr>
        <dsp:cNvPr id="0" name=""/>
        <dsp:cNvSpPr/>
      </dsp:nvSpPr>
      <dsp:spPr>
        <a:xfrm>
          <a:off x="368650" y="1831378"/>
          <a:ext cx="755496" cy="377748"/>
        </a:xfrm>
        <a:prstGeom prst="flowChartAlternateProcess">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Calibri" panose="020F0502020204030204"/>
              <a:ea typeface="+mn-ea"/>
              <a:cs typeface="+mn-cs"/>
            </a:rPr>
            <a:t>EXECUTIVE GROUP</a:t>
          </a:r>
        </a:p>
      </dsp:txBody>
      <dsp:txXfrm>
        <a:off x="387090" y="1849818"/>
        <a:ext cx="718616" cy="340868"/>
      </dsp:txXfrm>
    </dsp:sp>
    <dsp:sp modelId="{C0F6EC62-D98C-4AD4-A855-EC4D1137D1D1}">
      <dsp:nvSpPr>
        <dsp:cNvPr id="0" name=""/>
        <dsp:cNvSpPr/>
      </dsp:nvSpPr>
      <dsp:spPr>
        <a:xfrm>
          <a:off x="1124147" y="2009650"/>
          <a:ext cx="302198" cy="21203"/>
        </a:xfrm>
        <a:custGeom>
          <a:avLst/>
          <a:gdLst/>
          <a:ahLst/>
          <a:cxnLst/>
          <a:rect l="0" t="0" r="0" b="0"/>
          <a:pathLst>
            <a:path>
              <a:moveTo>
                <a:pt x="0" y="10601"/>
              </a:moveTo>
              <a:lnTo>
                <a:pt x="302198" y="10601"/>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solidFill>
              <a:sysClr val="windowText" lastClr="000000">
                <a:hueOff val="0"/>
                <a:satOff val="0"/>
                <a:lumOff val="0"/>
                <a:alphaOff val="0"/>
              </a:sysClr>
            </a:solidFill>
            <a:latin typeface="Calibri" panose="020F0502020204030204"/>
            <a:ea typeface="+mn-ea"/>
            <a:cs typeface="+mn-cs"/>
          </a:endParaRPr>
        </a:p>
      </dsp:txBody>
      <dsp:txXfrm>
        <a:off x="1267691" y="2012697"/>
        <a:ext cx="0" cy="0"/>
      </dsp:txXfrm>
    </dsp:sp>
    <dsp:sp modelId="{CCAFF023-0A9F-4BE2-B691-30F87D16E209}">
      <dsp:nvSpPr>
        <dsp:cNvPr id="0" name=""/>
        <dsp:cNvSpPr/>
      </dsp:nvSpPr>
      <dsp:spPr>
        <a:xfrm>
          <a:off x="1426345" y="1831378"/>
          <a:ext cx="755496" cy="377748"/>
        </a:xfrm>
        <a:prstGeom prst="flowChartAlternateProcess">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Calibri" panose="020F0502020204030204"/>
              <a:ea typeface="+mn-ea"/>
              <a:cs typeface="+mn-cs"/>
            </a:rPr>
            <a:t>RISK COMMITTEE</a:t>
          </a:r>
        </a:p>
      </dsp:txBody>
      <dsp:txXfrm>
        <a:off x="1444785" y="1849818"/>
        <a:ext cx="718616" cy="340868"/>
      </dsp:txXfrm>
    </dsp:sp>
    <dsp:sp modelId="{52400D05-091B-41BE-AA52-E97E35C4276A}">
      <dsp:nvSpPr>
        <dsp:cNvPr id="0" name=""/>
        <dsp:cNvSpPr/>
      </dsp:nvSpPr>
      <dsp:spPr>
        <a:xfrm rot="17172669">
          <a:off x="1784943" y="1480924"/>
          <a:ext cx="1101239" cy="21203"/>
        </a:xfrm>
        <a:custGeom>
          <a:avLst/>
          <a:gdLst/>
          <a:ahLst/>
          <a:cxnLst/>
          <a:rect l="0" t="0" r="0" b="0"/>
          <a:pathLst>
            <a:path>
              <a:moveTo>
                <a:pt x="0" y="10601"/>
              </a:moveTo>
              <a:lnTo>
                <a:pt x="1101239" y="10601"/>
              </a:lnTo>
            </a:path>
          </a:pathLst>
        </a:custGeom>
        <a:noFill/>
        <a:ln w="12700" cap="flat" cmpd="sng" algn="ctr">
          <a:solidFill>
            <a:srgbClr val="4472C4">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solidFill>
              <a:sysClr val="windowText" lastClr="000000">
                <a:hueOff val="0"/>
                <a:satOff val="0"/>
                <a:lumOff val="0"/>
                <a:alphaOff val="0"/>
              </a:sysClr>
            </a:solidFill>
            <a:latin typeface="Calibri" panose="020F0502020204030204"/>
            <a:ea typeface="+mn-ea"/>
            <a:cs typeface="+mn-cs"/>
          </a:endParaRPr>
        </a:p>
      </dsp:txBody>
      <dsp:txXfrm>
        <a:off x="2301441" y="1510274"/>
        <a:ext cx="0" cy="0"/>
      </dsp:txXfrm>
    </dsp:sp>
    <dsp:sp modelId="{3F796117-F3C0-458B-9E4C-84FE5105D257}">
      <dsp:nvSpPr>
        <dsp:cNvPr id="0" name=""/>
        <dsp:cNvSpPr/>
      </dsp:nvSpPr>
      <dsp:spPr>
        <a:xfrm>
          <a:off x="2489284" y="773924"/>
          <a:ext cx="1185555" cy="377748"/>
        </a:xfrm>
        <a:prstGeom prst="flowChartAlternateProcess">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Calibri" panose="020F0502020204030204"/>
              <a:ea typeface="+mn-ea"/>
              <a:cs typeface="+mn-cs"/>
            </a:rPr>
            <a:t>ORGANIZATIONAL PERFORMANCE GROUP (OPG)</a:t>
          </a:r>
        </a:p>
      </dsp:txBody>
      <dsp:txXfrm>
        <a:off x="2507724" y="792364"/>
        <a:ext cx="1148675" cy="340868"/>
      </dsp:txXfrm>
    </dsp:sp>
    <dsp:sp modelId="{9DAF94B6-B328-43A9-9B02-B66C46B1A5E2}">
      <dsp:nvSpPr>
        <dsp:cNvPr id="0" name=""/>
        <dsp:cNvSpPr/>
      </dsp:nvSpPr>
      <dsp:spPr>
        <a:xfrm rot="17887419">
          <a:off x="2012392" y="1726947"/>
          <a:ext cx="641099" cy="21203"/>
        </a:xfrm>
        <a:custGeom>
          <a:avLst/>
          <a:gdLst/>
          <a:ahLst/>
          <a:cxnLst/>
          <a:rect l="0" t="0" r="0" b="0"/>
          <a:pathLst>
            <a:path>
              <a:moveTo>
                <a:pt x="0" y="10601"/>
              </a:moveTo>
              <a:lnTo>
                <a:pt x="641099" y="10601"/>
              </a:lnTo>
            </a:path>
          </a:pathLst>
        </a:custGeom>
        <a:noFill/>
        <a:ln w="12700" cap="flat" cmpd="sng" algn="ctr">
          <a:solidFill>
            <a:srgbClr val="4472C4">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solidFill>
              <a:sysClr val="windowText" lastClr="000000">
                <a:hueOff val="0"/>
                <a:satOff val="0"/>
                <a:lumOff val="0"/>
                <a:alphaOff val="0"/>
              </a:sysClr>
            </a:solidFill>
            <a:latin typeface="Calibri" panose="020F0502020204030204"/>
            <a:ea typeface="+mn-ea"/>
            <a:cs typeface="+mn-cs"/>
          </a:endParaRPr>
        </a:p>
      </dsp:txBody>
      <dsp:txXfrm>
        <a:off x="2311252" y="1744129"/>
        <a:ext cx="0" cy="0"/>
      </dsp:txXfrm>
    </dsp:sp>
    <dsp:sp modelId="{CD379ED6-D4B0-40FB-AD88-45A06AD75910}">
      <dsp:nvSpPr>
        <dsp:cNvPr id="0" name=""/>
        <dsp:cNvSpPr/>
      </dsp:nvSpPr>
      <dsp:spPr>
        <a:xfrm>
          <a:off x="2484040" y="1265972"/>
          <a:ext cx="1208280" cy="377748"/>
        </a:xfrm>
        <a:prstGeom prst="flowChartAlternateProcess">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Calibri" panose="020F0502020204030204"/>
              <a:ea typeface="+mn-ea"/>
              <a:cs typeface="+mn-cs"/>
            </a:rPr>
            <a:t>EXECUTIVE TEAM</a:t>
          </a:r>
        </a:p>
      </dsp:txBody>
      <dsp:txXfrm>
        <a:off x="2502480" y="1284412"/>
        <a:ext cx="1171400" cy="340868"/>
      </dsp:txXfrm>
    </dsp:sp>
    <dsp:sp modelId="{CD39D1E0-BAFA-4282-9069-E12FA2A9ED6A}">
      <dsp:nvSpPr>
        <dsp:cNvPr id="0" name=""/>
        <dsp:cNvSpPr/>
      </dsp:nvSpPr>
      <dsp:spPr>
        <a:xfrm rot="20952117">
          <a:off x="2179118" y="1980832"/>
          <a:ext cx="307645" cy="21203"/>
        </a:xfrm>
        <a:custGeom>
          <a:avLst/>
          <a:gdLst/>
          <a:ahLst/>
          <a:cxnLst/>
          <a:rect l="0" t="0" r="0" b="0"/>
          <a:pathLst>
            <a:path>
              <a:moveTo>
                <a:pt x="0" y="10601"/>
              </a:moveTo>
              <a:lnTo>
                <a:pt x="307645" y="10601"/>
              </a:lnTo>
            </a:path>
          </a:pathLst>
        </a:custGeom>
        <a:noFill/>
        <a:ln w="12700" cap="flat" cmpd="sng" algn="ctr">
          <a:solidFill>
            <a:srgbClr val="4472C4">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solidFill>
              <a:sysClr val="windowText" lastClr="000000">
                <a:hueOff val="0"/>
                <a:satOff val="0"/>
                <a:lumOff val="0"/>
                <a:alphaOff val="0"/>
              </a:sysClr>
            </a:solidFill>
            <a:latin typeface="Calibri" panose="020F0502020204030204"/>
            <a:ea typeface="+mn-ea"/>
            <a:cs typeface="+mn-cs"/>
          </a:endParaRPr>
        </a:p>
      </dsp:txBody>
      <dsp:txXfrm>
        <a:off x="2323945" y="1985319"/>
        <a:ext cx="0" cy="0"/>
      </dsp:txXfrm>
    </dsp:sp>
    <dsp:sp modelId="{1BAAF516-C7F2-4667-8F11-154843D8E091}">
      <dsp:nvSpPr>
        <dsp:cNvPr id="0" name=""/>
        <dsp:cNvSpPr/>
      </dsp:nvSpPr>
      <dsp:spPr>
        <a:xfrm>
          <a:off x="2484040" y="1773741"/>
          <a:ext cx="1197469" cy="377748"/>
        </a:xfrm>
        <a:prstGeom prst="flowChartAlternateProcess">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Calibri" panose="020F0502020204030204"/>
              <a:ea typeface="+mn-ea"/>
              <a:cs typeface="+mn-cs"/>
            </a:rPr>
            <a:t>SECURITY MANAGEMENT GROUP</a:t>
          </a:r>
        </a:p>
      </dsp:txBody>
      <dsp:txXfrm>
        <a:off x="2502480" y="1792181"/>
        <a:ext cx="1160589" cy="340868"/>
      </dsp:txXfrm>
    </dsp:sp>
    <dsp:sp modelId="{0C1F1798-3416-49D7-BD3E-E84B58E13DAD}">
      <dsp:nvSpPr>
        <dsp:cNvPr id="0" name=""/>
        <dsp:cNvSpPr/>
      </dsp:nvSpPr>
      <dsp:spPr>
        <a:xfrm rot="3310531">
          <a:off x="2068349" y="2226855"/>
          <a:ext cx="529184" cy="21203"/>
        </a:xfrm>
        <a:custGeom>
          <a:avLst/>
          <a:gdLst/>
          <a:ahLst/>
          <a:cxnLst/>
          <a:rect l="0" t="0" r="0" b="0"/>
          <a:pathLst>
            <a:path>
              <a:moveTo>
                <a:pt x="0" y="10601"/>
              </a:moveTo>
              <a:lnTo>
                <a:pt x="529184" y="10601"/>
              </a:lnTo>
            </a:path>
          </a:pathLst>
        </a:custGeom>
        <a:noFill/>
        <a:ln w="12700" cap="flat" cmpd="sng" algn="ctr">
          <a:solidFill>
            <a:srgbClr val="4472C4">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solidFill>
              <a:sysClr val="windowText" lastClr="000000">
                <a:hueOff val="0"/>
                <a:satOff val="0"/>
                <a:lumOff val="0"/>
                <a:alphaOff val="0"/>
              </a:sysClr>
            </a:solidFill>
            <a:latin typeface="Calibri" panose="020F0502020204030204"/>
            <a:ea typeface="+mn-ea"/>
            <a:cs typeface="+mn-cs"/>
          </a:endParaRPr>
        </a:p>
      </dsp:txBody>
      <dsp:txXfrm>
        <a:off x="2336247" y="2219042"/>
        <a:ext cx="0" cy="0"/>
      </dsp:txXfrm>
    </dsp:sp>
    <dsp:sp modelId="{018274AD-B94B-49BF-A286-DF427BF0D4AD}">
      <dsp:nvSpPr>
        <dsp:cNvPr id="0" name=""/>
        <dsp:cNvSpPr/>
      </dsp:nvSpPr>
      <dsp:spPr>
        <a:xfrm>
          <a:off x="2484040" y="2265788"/>
          <a:ext cx="1189499" cy="377748"/>
        </a:xfrm>
        <a:prstGeom prst="flowChartAlternateProcess">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Calibri" panose="020F0502020204030204"/>
              <a:ea typeface="+mn-ea"/>
              <a:cs typeface="+mn-cs"/>
            </a:rPr>
            <a:t>CRISIS BOARD</a:t>
          </a:r>
        </a:p>
      </dsp:txBody>
      <dsp:txXfrm>
        <a:off x="2502480" y="2284228"/>
        <a:ext cx="1152619" cy="340868"/>
      </dsp:txXfrm>
    </dsp:sp>
    <dsp:sp modelId="{C1176CAC-ADB4-44D6-B4A6-94C8A29B7D81}">
      <dsp:nvSpPr>
        <dsp:cNvPr id="0" name=""/>
        <dsp:cNvSpPr/>
      </dsp:nvSpPr>
      <dsp:spPr>
        <a:xfrm rot="4249260">
          <a:off x="1873003" y="2444061"/>
          <a:ext cx="919877" cy="21203"/>
        </a:xfrm>
        <a:custGeom>
          <a:avLst/>
          <a:gdLst/>
          <a:ahLst/>
          <a:cxnLst/>
          <a:rect l="0" t="0" r="0" b="0"/>
          <a:pathLst>
            <a:path>
              <a:moveTo>
                <a:pt x="0" y="10601"/>
              </a:moveTo>
              <a:lnTo>
                <a:pt x="919877" y="10601"/>
              </a:lnTo>
            </a:path>
          </a:pathLst>
        </a:custGeom>
        <a:noFill/>
        <a:ln w="12700" cap="flat" cmpd="sng" algn="ctr">
          <a:solidFill>
            <a:srgbClr val="4472C4">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347106" y="2425388"/>
        <a:ext cx="0" cy="0"/>
      </dsp:txXfrm>
    </dsp:sp>
    <dsp:sp modelId="{D6DCC517-E673-45BB-8274-0D301D52BE9C}">
      <dsp:nvSpPr>
        <dsp:cNvPr id="0" name=""/>
        <dsp:cNvSpPr/>
      </dsp:nvSpPr>
      <dsp:spPr>
        <a:xfrm>
          <a:off x="2484040" y="2700199"/>
          <a:ext cx="1179889" cy="377748"/>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Calibri" panose="020F0502020204030204"/>
              <a:ea typeface="+mn-ea"/>
              <a:cs typeface="+mn-cs"/>
            </a:rPr>
            <a:t>Bureaux/Offices</a:t>
          </a:r>
        </a:p>
      </dsp:txBody>
      <dsp:txXfrm>
        <a:off x="2495104" y="2711263"/>
        <a:ext cx="1157761" cy="3556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1370</Words>
  <Characters>7811</Characters>
  <Application>Microsoft Office Word</Application>
  <DocSecurity>0</DocSecurity>
  <Lines>65</Lines>
  <Paragraphs>18</Paragraphs>
  <ScaleCrop>false</ScaleCrop>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2</cp:revision>
  <dcterms:created xsi:type="dcterms:W3CDTF">2024-02-16T01:11:00Z</dcterms:created>
  <dcterms:modified xsi:type="dcterms:W3CDTF">2024-02-16T01:14:00Z</dcterms:modified>
</cp:coreProperties>
</file>