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37EB" w14:textId="77777777" w:rsidR="007C0D9B" w:rsidRDefault="007C0D9B" w:rsidP="007C0D9B">
      <w:pPr>
        <w:spacing w:after="0" w:line="240" w:lineRule="auto"/>
        <w:rPr>
          <w:rFonts w:ascii="Calibri" w:hAnsi="Calibri"/>
          <w:b/>
          <w:sz w:val="28"/>
          <w:szCs w:val="28"/>
        </w:rPr>
      </w:pPr>
      <w:r w:rsidRPr="00E66D4B">
        <w:rPr>
          <w:rFonts w:ascii="Calibri" w:hAnsi="Calibri"/>
          <w:b/>
          <w:sz w:val="28"/>
          <w:szCs w:val="28"/>
        </w:rPr>
        <w:t>Social and Environmental Standards</w:t>
      </w:r>
    </w:p>
    <w:p w14:paraId="75861486" w14:textId="77777777" w:rsidR="007C0D9B" w:rsidRPr="00E66D4B" w:rsidRDefault="007C0D9B" w:rsidP="007C0D9B">
      <w:pPr>
        <w:spacing w:after="0" w:line="240" w:lineRule="auto"/>
        <w:rPr>
          <w:rFonts w:ascii="Calibri" w:hAnsi="Calibri"/>
          <w:b/>
          <w:sz w:val="28"/>
          <w:szCs w:val="28"/>
        </w:rPr>
      </w:pPr>
    </w:p>
    <w:p w14:paraId="33CE56EF"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 xml:space="preserve">UNDP </w:t>
      </w:r>
      <w:r>
        <w:rPr>
          <w:rStyle w:val="ms-rtethemefontface-2"/>
          <w:rFonts w:ascii="Calibri" w:hAnsi="Calibri"/>
        </w:rPr>
        <w:t>p</w:t>
      </w:r>
      <w:r w:rsidRPr="00BD24EB">
        <w:rPr>
          <w:rStyle w:val="ms-rtethemefontface-2"/>
          <w:rFonts w:ascii="Calibri" w:hAnsi="Calibri"/>
        </w:rPr>
        <w:t xml:space="preserve">rogrammes and </w:t>
      </w:r>
      <w:r>
        <w:rPr>
          <w:rStyle w:val="ms-rtethemefontface-2"/>
          <w:rFonts w:ascii="Calibri" w:hAnsi="Calibri"/>
        </w:rPr>
        <w:t>p</w:t>
      </w:r>
      <w:r w:rsidRPr="00BD24EB">
        <w:rPr>
          <w:rStyle w:val="ms-rtethemefontface-2"/>
          <w:rFonts w:ascii="Calibri" w:hAnsi="Calibri"/>
        </w:rPr>
        <w:t xml:space="preserve">rojects adhere to the objectives and requirements of the </w:t>
      </w:r>
      <w:hyperlink r:id="rId12" w:history="1">
        <w:r w:rsidRPr="00C158EB">
          <w:rPr>
            <w:rStyle w:val="Hyperlink"/>
            <w:rFonts w:ascii="Calibri" w:hAnsi="Calibri"/>
          </w:rPr>
          <w:t>Social and Environmental Standards (SES)</w:t>
        </w:r>
      </w:hyperlink>
      <w:r w:rsidRPr="00BD24EB">
        <w:rPr>
          <w:rStyle w:val="ms-rtethemefontface-2"/>
          <w:rFonts w:ascii="Calibri" w:hAnsi="Calibri"/>
        </w:rPr>
        <w:t>. The SES objectives are to: (</w:t>
      </w:r>
      <w:r>
        <w:rPr>
          <w:rStyle w:val="ms-rtethemefontface-2"/>
          <w:rFonts w:ascii="Calibri" w:hAnsi="Calibri"/>
        </w:rPr>
        <w:t>a</w:t>
      </w:r>
      <w:r w:rsidRPr="00BD24EB">
        <w:rPr>
          <w:rStyle w:val="ms-rtethemefontface-2"/>
          <w:rFonts w:ascii="Calibri" w:hAnsi="Calibri"/>
        </w:rPr>
        <w:t>) strengthen the</w:t>
      </w:r>
      <w:r>
        <w:rPr>
          <w:rStyle w:val="ms-rtethemefontface-2"/>
          <w:rFonts w:ascii="Calibri" w:hAnsi="Calibri"/>
        </w:rPr>
        <w:t xml:space="preserve"> quality of programming by ensuring a principled approach</w:t>
      </w:r>
      <w:r w:rsidRPr="00BD24EB">
        <w:rPr>
          <w:rStyle w:val="ms-rtethemefontface-2"/>
          <w:rFonts w:ascii="Calibri" w:hAnsi="Calibri"/>
        </w:rPr>
        <w:t>; (</w:t>
      </w:r>
      <w:r>
        <w:rPr>
          <w:rStyle w:val="ms-rtethemefontface-2"/>
          <w:rFonts w:ascii="Calibri" w:hAnsi="Calibri"/>
        </w:rPr>
        <w:t>b</w:t>
      </w:r>
      <w:r w:rsidRPr="00BD24EB">
        <w:rPr>
          <w:rStyle w:val="ms-rtethemefontface-2"/>
          <w:rFonts w:ascii="Calibri" w:hAnsi="Calibri"/>
        </w:rPr>
        <w:t xml:space="preserve">) </w:t>
      </w:r>
      <w:r>
        <w:rPr>
          <w:rStyle w:val="ms-rtethemefontface-2"/>
          <w:rFonts w:ascii="Calibri" w:hAnsi="Calibri"/>
        </w:rPr>
        <w:t xml:space="preserve">maximize social and environmental opportunities and benefits; (c) </w:t>
      </w:r>
      <w:r w:rsidRPr="00BD24EB">
        <w:rPr>
          <w:rStyle w:val="ms-rtethemefontface-2"/>
          <w:rFonts w:ascii="Calibri" w:hAnsi="Calibri"/>
        </w:rPr>
        <w:t>avoid adverse impacts to people and the environment; (</w:t>
      </w:r>
      <w:r>
        <w:rPr>
          <w:rStyle w:val="ms-rtethemefontface-2"/>
          <w:rFonts w:ascii="Calibri" w:hAnsi="Calibri"/>
        </w:rPr>
        <w:t>d</w:t>
      </w:r>
      <w:r w:rsidRPr="00BD24EB">
        <w:rPr>
          <w:rStyle w:val="ms-rtethemefontface-2"/>
          <w:rFonts w:ascii="Calibri" w:hAnsi="Calibri"/>
        </w:rPr>
        <w:t>) minimize, mitigate, and manage adverse impacts where avoidance is not possible; (</w:t>
      </w:r>
      <w:r>
        <w:rPr>
          <w:rStyle w:val="ms-rtethemefontface-2"/>
          <w:rFonts w:ascii="Calibri" w:hAnsi="Calibri"/>
        </w:rPr>
        <w:t>e</w:t>
      </w:r>
      <w:r w:rsidRPr="00BD24EB">
        <w:rPr>
          <w:rStyle w:val="ms-rtethemefontface-2"/>
          <w:rFonts w:ascii="Calibri" w:hAnsi="Calibri"/>
        </w:rPr>
        <w:t>) strengthen UNDP and partner capacities for managing social and environmental risks; and (</w:t>
      </w:r>
      <w:r>
        <w:rPr>
          <w:rStyle w:val="ms-rtethemefontface-2"/>
          <w:rFonts w:ascii="Calibri" w:hAnsi="Calibri"/>
        </w:rPr>
        <w:t>f</w:t>
      </w:r>
      <w:r w:rsidRPr="00BD24EB">
        <w:rPr>
          <w:rStyle w:val="ms-rtethemefontface-2"/>
          <w:rFonts w:ascii="Calibri" w:hAnsi="Calibri"/>
        </w:rPr>
        <w:t>) ensure full and effective stakeholder engagement, including through a mechanism to respond to complaints from project-affected people.</w:t>
      </w:r>
    </w:p>
    <w:p w14:paraId="0DE9EB37" w14:textId="77777777" w:rsidR="007C0D9B" w:rsidRDefault="007C0D9B" w:rsidP="007C0D9B">
      <w:pPr>
        <w:pStyle w:val="ListParagraph"/>
        <w:spacing w:after="0" w:line="240" w:lineRule="auto"/>
        <w:contextualSpacing w:val="0"/>
        <w:jc w:val="both"/>
        <w:rPr>
          <w:rStyle w:val="ms-rtethemefontface-2"/>
          <w:rFonts w:ascii="Calibri" w:hAnsi="Calibri"/>
        </w:rPr>
      </w:pPr>
    </w:p>
    <w:p w14:paraId="61F14F08"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AE5465">
        <w:rPr>
          <w:rStyle w:val="ms-rtethemefontface-2"/>
          <w:rFonts w:ascii="Calibri" w:hAnsi="Calibri"/>
        </w:rPr>
        <w:t xml:space="preserve">UNDP does not support activities that do not comply with national law and obligations under international law, whichever is the higher standard (hereinafter ‘Applicable Law’). UNDP seeks to support governments to adhere to their human rights obligations and empower individuals and groups, particularly the most marginalized, to realize their rights and to ensure that they fully participate throughout UNDP’s programming cycle. </w:t>
      </w:r>
    </w:p>
    <w:p w14:paraId="0171CCA3" w14:textId="77777777" w:rsidR="007C0D9B" w:rsidRPr="00AE5465" w:rsidRDefault="007C0D9B" w:rsidP="007C0D9B">
      <w:pPr>
        <w:spacing w:after="0" w:line="240" w:lineRule="auto"/>
        <w:jc w:val="both"/>
        <w:rPr>
          <w:rStyle w:val="ms-rtethemefontface-2"/>
          <w:rFonts w:ascii="Calibri" w:hAnsi="Calibri"/>
        </w:rPr>
      </w:pPr>
    </w:p>
    <w:p w14:paraId="05C43DD2"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 xml:space="preserve">UNDP applies the United Nations </w:t>
      </w:r>
      <w:r>
        <w:rPr>
          <w:rStyle w:val="ms-rtethemefontface-2"/>
          <w:rFonts w:ascii="Calibri" w:hAnsi="Calibri"/>
        </w:rPr>
        <w:t xml:space="preserve">Sustainable </w:t>
      </w:r>
      <w:r w:rsidRPr="00BD24EB">
        <w:rPr>
          <w:rStyle w:val="ms-rtethemefontface-2"/>
          <w:rFonts w:ascii="Calibri" w:hAnsi="Calibri"/>
        </w:rPr>
        <w:t>Development Group (UN</w:t>
      </w:r>
      <w:r>
        <w:rPr>
          <w:rStyle w:val="ms-rtethemefontface-2"/>
          <w:rFonts w:ascii="Calibri" w:hAnsi="Calibri"/>
        </w:rPr>
        <w:t>S</w:t>
      </w:r>
      <w:r w:rsidRPr="00BD24EB">
        <w:rPr>
          <w:rStyle w:val="ms-rtethemefontface-2"/>
          <w:rFonts w:ascii="Calibri" w:hAnsi="Calibri"/>
        </w:rPr>
        <w:t>DG)</w:t>
      </w:r>
      <w:r>
        <w:rPr>
          <w:rStyle w:val="ms-rtethemefontface-2"/>
          <w:rFonts w:ascii="Calibri" w:hAnsi="Calibri"/>
        </w:rPr>
        <w:t xml:space="preserve"> guiding </w:t>
      </w:r>
      <w:r w:rsidRPr="000D0170">
        <w:rPr>
          <w:rStyle w:val="ms-rtethemefontface-2"/>
          <w:rFonts w:ascii="Calibri" w:hAnsi="Calibri"/>
        </w:rPr>
        <w:t>principles for</w:t>
      </w:r>
      <w:r>
        <w:rPr>
          <w:rStyle w:val="ms-rtethemefontface-2"/>
          <w:rFonts w:ascii="Calibri" w:hAnsi="Calibri"/>
        </w:rPr>
        <w:t xml:space="preserve"> UN Sustainable Development Cooperation Frameworks (Cooperation Frameworks)</w:t>
      </w:r>
      <w:r w:rsidRPr="000D0170">
        <w:rPr>
          <w:rStyle w:val="ms-rtethemefontface-2"/>
          <w:rFonts w:ascii="Calibri" w:hAnsi="Calibri"/>
        </w:rPr>
        <w:t xml:space="preserve">. These principles form the normative foundation for the </w:t>
      </w:r>
      <w:r>
        <w:rPr>
          <w:rStyle w:val="ms-rtethemefontface-2"/>
          <w:rFonts w:ascii="Calibri" w:hAnsi="Calibri"/>
        </w:rPr>
        <w:t>Cooperation Framework</w:t>
      </w:r>
      <w:r w:rsidRPr="000D0170">
        <w:rPr>
          <w:rStyle w:val="ms-rtethemefontface-2"/>
          <w:rFonts w:ascii="Calibri" w:hAnsi="Calibri"/>
        </w:rPr>
        <w:t xml:space="preserve"> and integrated programming in all country contexts, with </w:t>
      </w:r>
      <w:r>
        <w:rPr>
          <w:rStyle w:val="ms-rtethemefontface-2"/>
          <w:rFonts w:ascii="Calibri" w:hAnsi="Calibri"/>
        </w:rPr>
        <w:t>“</w:t>
      </w:r>
      <w:r w:rsidRPr="0094201B">
        <w:rPr>
          <w:rStyle w:val="ms-rtethemefontface-2"/>
          <w:rFonts w:ascii="Calibri" w:hAnsi="Calibri"/>
          <w:b/>
          <w:bCs/>
        </w:rPr>
        <w:t>leave no one behind</w:t>
      </w:r>
      <w:r>
        <w:rPr>
          <w:rStyle w:val="ms-rtethemefontface-2"/>
          <w:rFonts w:ascii="Calibri" w:hAnsi="Calibri"/>
        </w:rPr>
        <w:t>”</w:t>
      </w:r>
      <w:r w:rsidRPr="000D0170">
        <w:rPr>
          <w:rStyle w:val="ms-rtethemefontface-2"/>
          <w:rFonts w:ascii="Calibri" w:hAnsi="Calibri"/>
        </w:rPr>
        <w:t xml:space="preserve"> as the overarching and unifying principle</w:t>
      </w:r>
      <w:r>
        <w:rPr>
          <w:rStyle w:val="ms-rtethemefontface-2"/>
          <w:rFonts w:ascii="Calibri" w:hAnsi="Calibri"/>
        </w:rPr>
        <w:t>. Leave no one behind and reaching the furthest behind first is at the core of programming and advocacy efforts across all UN agendas. This principle is further elaborated through the guiding principles of</w:t>
      </w:r>
      <w:r w:rsidRPr="000D0170">
        <w:rPr>
          <w:rStyle w:val="ms-rtethemefontface-2"/>
          <w:rFonts w:ascii="Calibri" w:hAnsi="Calibri"/>
        </w:rPr>
        <w:t xml:space="preserve"> human rights</w:t>
      </w:r>
      <w:r>
        <w:rPr>
          <w:rStyle w:val="ms-rtethemefontface-2"/>
          <w:rFonts w:ascii="Calibri" w:hAnsi="Calibri"/>
        </w:rPr>
        <w:t>;</w:t>
      </w:r>
      <w:r w:rsidRPr="000D0170">
        <w:rPr>
          <w:rStyle w:val="ms-rtethemefontface-2"/>
          <w:rFonts w:ascii="Calibri" w:hAnsi="Calibri"/>
        </w:rPr>
        <w:t xml:space="preserve"> gender equality and women’s empowerment; sustainability and resilience; and accountability.</w:t>
      </w:r>
      <w:r>
        <w:rPr>
          <w:rStyle w:val="ms-rtethemefontface-2"/>
          <w:rFonts w:ascii="Calibri" w:hAnsi="Calibri"/>
        </w:rPr>
        <w:t xml:space="preserve"> </w:t>
      </w:r>
      <w:r w:rsidRPr="00BD24EB">
        <w:rPr>
          <w:rStyle w:val="ms-rtethemefontface-2"/>
          <w:rFonts w:ascii="Calibri" w:hAnsi="Calibri"/>
        </w:rPr>
        <w:t xml:space="preserve">The SES reinforce </w:t>
      </w:r>
      <w:r>
        <w:rPr>
          <w:rStyle w:val="ms-rtethemefontface-2"/>
          <w:rFonts w:ascii="Calibri" w:hAnsi="Calibri"/>
        </w:rPr>
        <w:t>a “principled” approach to all UNDP programming</w:t>
      </w:r>
      <w:r w:rsidRPr="00BD24EB">
        <w:rPr>
          <w:rStyle w:val="ms-rtethemefontface-2"/>
          <w:rFonts w:ascii="Calibri" w:hAnsi="Calibri"/>
        </w:rPr>
        <w:t xml:space="preserve">. UNDP screens and reviews its activities to </w:t>
      </w:r>
      <w:r>
        <w:rPr>
          <w:rStyle w:val="ms-rtethemefontface-2"/>
          <w:rFonts w:ascii="Calibri" w:hAnsi="Calibri"/>
        </w:rPr>
        <w:t xml:space="preserve">maximize social and environmental </w:t>
      </w:r>
      <w:r w:rsidRPr="00BD24EB">
        <w:rPr>
          <w:rStyle w:val="ms-rtethemefontface-2"/>
          <w:rFonts w:ascii="Calibri" w:hAnsi="Calibri"/>
        </w:rPr>
        <w:t xml:space="preserve">opportunities </w:t>
      </w:r>
      <w:r>
        <w:rPr>
          <w:rStyle w:val="ms-rtethemefontface-2"/>
          <w:rFonts w:ascii="Calibri" w:hAnsi="Calibri"/>
        </w:rPr>
        <w:t xml:space="preserve">and benefits as well </w:t>
      </w:r>
      <w:r w:rsidRPr="00BD24EB">
        <w:rPr>
          <w:rStyle w:val="ms-rtethemefontface-2"/>
          <w:rFonts w:ascii="Calibri" w:hAnsi="Calibri"/>
        </w:rPr>
        <w:t xml:space="preserve">to </w:t>
      </w:r>
      <w:r>
        <w:rPr>
          <w:rStyle w:val="ms-rtethemefontface-2"/>
          <w:rFonts w:ascii="Calibri" w:hAnsi="Calibri"/>
        </w:rPr>
        <w:t>ensure</w:t>
      </w:r>
      <w:r w:rsidRPr="00BD24EB">
        <w:rPr>
          <w:rStyle w:val="ms-rtethemefontface-2"/>
          <w:rFonts w:ascii="Calibri" w:hAnsi="Calibri"/>
        </w:rPr>
        <w:t xml:space="preserve"> </w:t>
      </w:r>
      <w:r>
        <w:rPr>
          <w:rStyle w:val="ms-rtethemefontface-2"/>
          <w:rFonts w:ascii="Calibri" w:hAnsi="Calibri"/>
        </w:rPr>
        <w:t>that</w:t>
      </w:r>
      <w:r w:rsidRPr="00BD24EB">
        <w:rPr>
          <w:rStyle w:val="ms-rtethemefontface-2"/>
          <w:rFonts w:ascii="Calibri" w:hAnsi="Calibri"/>
        </w:rPr>
        <w:t xml:space="preserve"> </w:t>
      </w:r>
      <w:r>
        <w:rPr>
          <w:rStyle w:val="ms-rtethemefontface-2"/>
          <w:rFonts w:ascii="Calibri" w:hAnsi="Calibri"/>
        </w:rPr>
        <w:t xml:space="preserve">adverse social and environmental risks and impacts are </w:t>
      </w:r>
      <w:r w:rsidRPr="00BD24EB">
        <w:rPr>
          <w:rStyle w:val="ms-rtethemefontface-2"/>
          <w:rFonts w:ascii="Calibri" w:hAnsi="Calibri"/>
        </w:rPr>
        <w:t>avoid</w:t>
      </w:r>
      <w:r>
        <w:rPr>
          <w:rStyle w:val="ms-rtethemefontface-2"/>
          <w:rFonts w:ascii="Calibri" w:hAnsi="Calibri"/>
        </w:rPr>
        <w:t>ed</w:t>
      </w:r>
      <w:r w:rsidRPr="00BD24EB">
        <w:rPr>
          <w:rStyle w:val="ms-rtethemefontface-2"/>
          <w:rFonts w:ascii="Calibri" w:hAnsi="Calibri"/>
        </w:rPr>
        <w:t>, minimize</w:t>
      </w:r>
      <w:r>
        <w:rPr>
          <w:rStyle w:val="ms-rtethemefontface-2"/>
          <w:rFonts w:ascii="Calibri" w:hAnsi="Calibri"/>
        </w:rPr>
        <w:t xml:space="preserve">d, </w:t>
      </w:r>
      <w:r w:rsidRPr="00BD24EB">
        <w:rPr>
          <w:rStyle w:val="ms-rtethemefontface-2"/>
          <w:rFonts w:ascii="Calibri" w:hAnsi="Calibri"/>
        </w:rPr>
        <w:t>mitigate</w:t>
      </w:r>
      <w:r>
        <w:rPr>
          <w:rStyle w:val="ms-rtethemefontface-2"/>
          <w:rFonts w:ascii="Calibri" w:hAnsi="Calibri"/>
        </w:rPr>
        <w:t>d and managed.</w:t>
      </w:r>
      <w:r w:rsidRPr="00BD24EB">
        <w:rPr>
          <w:rStyle w:val="ms-rtethemefontface-2"/>
          <w:rFonts w:ascii="Calibri" w:hAnsi="Calibri"/>
        </w:rPr>
        <w:t xml:space="preserve"> </w:t>
      </w:r>
    </w:p>
    <w:p w14:paraId="54844208" w14:textId="77777777" w:rsidR="007C0D9B" w:rsidRPr="00AE5465" w:rsidRDefault="007C0D9B" w:rsidP="007C0D9B">
      <w:pPr>
        <w:spacing w:after="0" w:line="240" w:lineRule="auto"/>
        <w:jc w:val="both"/>
        <w:rPr>
          <w:rStyle w:val="ms-rtethemefontface-2"/>
          <w:rFonts w:ascii="Calibri" w:hAnsi="Calibri"/>
        </w:rPr>
      </w:pPr>
    </w:p>
    <w:p w14:paraId="70E620B3"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 xml:space="preserve">UNDP will ensure that compliance review and stakeholder response (or grievance) mechanisms are in place so that individuals and communities potentially affected by UNDP </w:t>
      </w:r>
      <w:r>
        <w:rPr>
          <w:rStyle w:val="ms-rtethemefontface-2"/>
          <w:rFonts w:ascii="Calibri" w:hAnsi="Calibri"/>
        </w:rPr>
        <w:t>p</w:t>
      </w:r>
      <w:r w:rsidRPr="00BD24EB">
        <w:rPr>
          <w:rStyle w:val="ms-rtethemefontface-2"/>
          <w:rFonts w:ascii="Calibri" w:hAnsi="Calibri"/>
        </w:rPr>
        <w:t xml:space="preserve">rogrammes and </w:t>
      </w:r>
      <w:r>
        <w:rPr>
          <w:rStyle w:val="ms-rtethemefontface-2"/>
          <w:rFonts w:ascii="Calibri" w:hAnsi="Calibri"/>
        </w:rPr>
        <w:t>p</w:t>
      </w:r>
      <w:r w:rsidRPr="00BD24EB">
        <w:rPr>
          <w:rStyle w:val="ms-rtethemefontface-2"/>
          <w:rFonts w:ascii="Calibri" w:hAnsi="Calibri"/>
        </w:rPr>
        <w:t xml:space="preserve">rojects have access to effective mechanisms and procedures for raising concerns about the social and environmental performance of the </w:t>
      </w:r>
      <w:r>
        <w:rPr>
          <w:rStyle w:val="ms-rtethemefontface-2"/>
          <w:rFonts w:ascii="Calibri" w:hAnsi="Calibri"/>
        </w:rPr>
        <w:t>pr</w:t>
      </w:r>
      <w:r w:rsidRPr="00BD24EB">
        <w:rPr>
          <w:rStyle w:val="ms-rtethemefontface-2"/>
          <w:rFonts w:ascii="Calibri" w:hAnsi="Calibri"/>
        </w:rPr>
        <w:t xml:space="preserve">ogramme and/or </w:t>
      </w:r>
      <w:r>
        <w:rPr>
          <w:rStyle w:val="ms-rtethemefontface-2"/>
          <w:rFonts w:ascii="Calibri" w:hAnsi="Calibri"/>
        </w:rPr>
        <w:t>p</w:t>
      </w:r>
      <w:r w:rsidRPr="00BD24EB">
        <w:rPr>
          <w:rStyle w:val="ms-rtethemefontface-2"/>
          <w:rFonts w:ascii="Calibri" w:hAnsi="Calibri"/>
        </w:rPr>
        <w:t xml:space="preserve">roject. UNDP will ensure that its </w:t>
      </w:r>
      <w:r>
        <w:rPr>
          <w:rStyle w:val="ms-rtethemefontface-2"/>
          <w:rFonts w:ascii="Calibri" w:hAnsi="Calibri"/>
        </w:rPr>
        <w:t>i</w:t>
      </w:r>
      <w:r w:rsidRPr="00BD24EB">
        <w:rPr>
          <w:rStyle w:val="ms-rtethemefontface-2"/>
          <w:rFonts w:ascii="Calibri" w:hAnsi="Calibri"/>
        </w:rPr>
        <w:t xml:space="preserve">mplementing </w:t>
      </w:r>
      <w:r>
        <w:rPr>
          <w:rStyle w:val="ms-rtethemefontface-2"/>
          <w:rFonts w:ascii="Calibri" w:hAnsi="Calibri"/>
        </w:rPr>
        <w:t>p</w:t>
      </w:r>
      <w:r w:rsidRPr="00BD24EB">
        <w:rPr>
          <w:rStyle w:val="ms-rtethemefontface-2"/>
          <w:rFonts w:ascii="Calibri" w:hAnsi="Calibri"/>
        </w:rPr>
        <w:t xml:space="preserve">artners and its own </w:t>
      </w:r>
      <w:r>
        <w:rPr>
          <w:rStyle w:val="ms-rtethemefontface-2"/>
          <w:rFonts w:ascii="Calibri" w:hAnsi="Calibri"/>
        </w:rPr>
        <w:t>p</w:t>
      </w:r>
      <w:r w:rsidRPr="00BD24EB">
        <w:rPr>
          <w:rStyle w:val="ms-rtethemefontface-2"/>
          <w:rFonts w:ascii="Calibri" w:hAnsi="Calibri"/>
        </w:rPr>
        <w:t xml:space="preserve">rogramme and </w:t>
      </w:r>
      <w:r>
        <w:rPr>
          <w:rStyle w:val="ms-rtethemefontface-2"/>
          <w:rFonts w:ascii="Calibri" w:hAnsi="Calibri"/>
        </w:rPr>
        <w:t>p</w:t>
      </w:r>
      <w:r w:rsidRPr="00BD24EB">
        <w:rPr>
          <w:rStyle w:val="ms-rtethemefontface-2"/>
          <w:rFonts w:ascii="Calibri" w:hAnsi="Calibri"/>
        </w:rPr>
        <w:t>roject managers provide clear and constructive responses to potential grievances, correct non-compliance where it has occurred and share the results of grievance processes.</w:t>
      </w:r>
    </w:p>
    <w:p w14:paraId="47817447" w14:textId="77777777" w:rsidR="007C0D9B" w:rsidRPr="00AE5465" w:rsidRDefault="007C0D9B" w:rsidP="007C0D9B">
      <w:pPr>
        <w:spacing w:after="0" w:line="240" w:lineRule="auto"/>
        <w:jc w:val="both"/>
        <w:rPr>
          <w:rFonts w:ascii="Calibri" w:hAnsi="Calibri"/>
        </w:rPr>
      </w:pPr>
    </w:p>
    <w:p w14:paraId="4C56AE5F" w14:textId="043C0121"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 xml:space="preserve">UNDP will ensure that the objectives and requirements of the SES are considered throughout </w:t>
      </w:r>
      <w:r>
        <w:rPr>
          <w:rStyle w:val="ms-rtethemefontface-2"/>
          <w:rFonts w:ascii="Calibri" w:hAnsi="Calibri"/>
        </w:rPr>
        <w:t>the</w:t>
      </w:r>
      <w:r w:rsidRPr="00BD24EB">
        <w:rPr>
          <w:rStyle w:val="ms-rtethemefontface-2"/>
          <w:rFonts w:ascii="Calibri" w:hAnsi="Calibri"/>
        </w:rPr>
        <w:t xml:space="preserve"> programm</w:t>
      </w:r>
      <w:r>
        <w:rPr>
          <w:rStyle w:val="ms-rtethemefontface-2"/>
          <w:rFonts w:ascii="Calibri" w:hAnsi="Calibri"/>
        </w:rPr>
        <w:t xml:space="preserve">ing </w:t>
      </w:r>
      <w:r w:rsidRPr="00BD24EB">
        <w:rPr>
          <w:rStyle w:val="ms-rtethemefontface-2"/>
          <w:rFonts w:ascii="Calibri" w:hAnsi="Calibri"/>
        </w:rPr>
        <w:t xml:space="preserve">cycle. </w:t>
      </w:r>
      <w:r>
        <w:rPr>
          <w:rStyle w:val="ms-rtethemefontface-2"/>
          <w:rFonts w:ascii="Calibri" w:hAnsi="Calibri"/>
        </w:rPr>
        <w:t xml:space="preserve">Opportunities to strengthen social and </w:t>
      </w:r>
      <w:r w:rsidRPr="00BD24EB">
        <w:rPr>
          <w:rStyle w:val="ms-rtethemefontface-2"/>
          <w:rFonts w:ascii="Calibri" w:hAnsi="Calibri"/>
        </w:rPr>
        <w:t xml:space="preserve">environmental </w:t>
      </w:r>
      <w:r>
        <w:rPr>
          <w:rStyle w:val="ms-rtethemefontface-2"/>
          <w:rFonts w:ascii="Calibri" w:hAnsi="Calibri"/>
        </w:rPr>
        <w:t xml:space="preserve">sustainability are identified at the earliest stage of programme and project design, realized through implementation and tracked through monitoring and evaluation. Social and environmental opportunities and risks are addressed in an integrated manner, recognizing the interrelatedness of social and environmental issues. </w:t>
      </w:r>
    </w:p>
    <w:p w14:paraId="346C3F8A" w14:textId="77777777" w:rsidR="007C0D9B" w:rsidRPr="00AE5465" w:rsidRDefault="007C0D9B" w:rsidP="007C0D9B">
      <w:pPr>
        <w:spacing w:after="0" w:line="240" w:lineRule="auto"/>
        <w:jc w:val="both"/>
        <w:rPr>
          <w:rFonts w:ascii="Calibri" w:hAnsi="Calibri"/>
        </w:rPr>
      </w:pPr>
    </w:p>
    <w:p w14:paraId="37CE607C"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UNDP ensure</w:t>
      </w:r>
      <w:r>
        <w:rPr>
          <w:rStyle w:val="ms-rtethemefontface-2"/>
          <w:rFonts w:ascii="Calibri" w:hAnsi="Calibri"/>
        </w:rPr>
        <w:t>s</w:t>
      </w:r>
      <w:r w:rsidRPr="00BD24EB">
        <w:rPr>
          <w:rStyle w:val="ms-rtethemefontface-2"/>
          <w:rFonts w:ascii="Calibri" w:hAnsi="Calibri"/>
        </w:rPr>
        <w:t xml:space="preserve"> adherence to the SES for </w:t>
      </w:r>
      <w:r>
        <w:rPr>
          <w:rStyle w:val="ms-rtethemefontface-2"/>
          <w:rFonts w:ascii="Calibri" w:hAnsi="Calibri"/>
        </w:rPr>
        <w:t>programming</w:t>
      </w:r>
      <w:r w:rsidRPr="00BD24EB">
        <w:rPr>
          <w:rStyle w:val="ms-rtethemefontface-2"/>
          <w:rFonts w:ascii="Calibri" w:hAnsi="Calibri"/>
        </w:rPr>
        <w:t xml:space="preserve"> activities implemented using funds channeled through UNDP’s accounts, regardless of </w:t>
      </w:r>
      <w:r>
        <w:rPr>
          <w:rStyle w:val="ms-rtethemefontface-2"/>
          <w:rFonts w:ascii="Calibri" w:hAnsi="Calibri"/>
        </w:rPr>
        <w:t>i</w:t>
      </w:r>
      <w:r w:rsidRPr="00BD24EB">
        <w:rPr>
          <w:rStyle w:val="ms-rtethemefontface-2"/>
          <w:rFonts w:ascii="Calibri" w:hAnsi="Calibri"/>
        </w:rPr>
        <w:t xml:space="preserve">mplementation </w:t>
      </w:r>
      <w:r>
        <w:rPr>
          <w:rStyle w:val="ms-rtethemefontface-2"/>
          <w:rFonts w:ascii="Calibri" w:hAnsi="Calibri"/>
        </w:rPr>
        <w:t>m</w:t>
      </w:r>
      <w:r w:rsidRPr="00BD24EB">
        <w:rPr>
          <w:rStyle w:val="ms-rtethemefontface-2"/>
          <w:rFonts w:ascii="Calibri" w:hAnsi="Calibri"/>
        </w:rPr>
        <w:t xml:space="preserve">odality. In cases where </w:t>
      </w:r>
      <w:r w:rsidRPr="00BD24EB">
        <w:rPr>
          <w:rStyle w:val="ms-rtethemefontface-2"/>
          <w:rFonts w:ascii="Calibri" w:hAnsi="Calibri"/>
        </w:rPr>
        <w:lastRenderedPageBreak/>
        <w:t xml:space="preserve">implementation of the SES is </w:t>
      </w:r>
      <w:r>
        <w:rPr>
          <w:rStyle w:val="ms-rtethemefontface-2"/>
          <w:rFonts w:ascii="Calibri" w:hAnsi="Calibri"/>
        </w:rPr>
        <w:t>found not</w:t>
      </w:r>
      <w:r w:rsidRPr="00BD24EB">
        <w:rPr>
          <w:rStyle w:val="ms-rtethemefontface-2"/>
          <w:rFonts w:ascii="Calibri" w:hAnsi="Calibri"/>
        </w:rPr>
        <w:t xml:space="preserve"> </w:t>
      </w:r>
      <w:r>
        <w:rPr>
          <w:rStyle w:val="ms-rtethemefontface-2"/>
          <w:rFonts w:ascii="Calibri" w:hAnsi="Calibri"/>
        </w:rPr>
        <w:t xml:space="preserve">to be </w:t>
      </w:r>
      <w:r w:rsidRPr="00BD24EB">
        <w:rPr>
          <w:rStyle w:val="ms-rtethemefontface-2"/>
          <w:rFonts w:ascii="Calibri" w:hAnsi="Calibri"/>
        </w:rPr>
        <w:t xml:space="preserve">adequate, UNDP will undertake appropriate measures to address shortcomings. </w:t>
      </w:r>
    </w:p>
    <w:p w14:paraId="0358363D" w14:textId="77777777" w:rsidR="007C0D9B" w:rsidRPr="00AE5465" w:rsidRDefault="007C0D9B" w:rsidP="007C0D9B">
      <w:pPr>
        <w:spacing w:after="0" w:line="240" w:lineRule="auto"/>
        <w:jc w:val="both"/>
        <w:rPr>
          <w:rFonts w:ascii="Calibri" w:hAnsi="Calibri"/>
        </w:rPr>
      </w:pPr>
    </w:p>
    <w:p w14:paraId="6A2576AF"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 xml:space="preserve">UNDP </w:t>
      </w:r>
      <w:r>
        <w:rPr>
          <w:rStyle w:val="ms-rtethemefontface-2"/>
          <w:rFonts w:ascii="Calibri" w:hAnsi="Calibri"/>
        </w:rPr>
        <w:t>p</w:t>
      </w:r>
      <w:r w:rsidRPr="00BD24EB">
        <w:rPr>
          <w:rStyle w:val="ms-rtethemefontface-2"/>
          <w:rFonts w:ascii="Calibri" w:hAnsi="Calibri"/>
        </w:rPr>
        <w:t xml:space="preserve">rogrammes and </w:t>
      </w:r>
      <w:r>
        <w:rPr>
          <w:rStyle w:val="ms-rtethemefontface-2"/>
          <w:rFonts w:ascii="Calibri" w:hAnsi="Calibri"/>
        </w:rPr>
        <w:t>p</w:t>
      </w:r>
      <w:r w:rsidRPr="00BD24EB">
        <w:rPr>
          <w:rStyle w:val="ms-rtethemefontface-2"/>
          <w:rFonts w:ascii="Calibri" w:hAnsi="Calibri"/>
        </w:rPr>
        <w:t xml:space="preserve">rojects </w:t>
      </w:r>
      <w:r>
        <w:rPr>
          <w:rStyle w:val="ms-rtethemefontface-2"/>
          <w:rFonts w:ascii="Calibri" w:hAnsi="Calibri"/>
        </w:rPr>
        <w:t xml:space="preserve">may </w:t>
      </w:r>
      <w:r w:rsidRPr="00BD24EB">
        <w:rPr>
          <w:rStyle w:val="ms-rtethemefontface-2"/>
          <w:rFonts w:ascii="Calibri" w:hAnsi="Calibri"/>
        </w:rPr>
        <w:t xml:space="preserve">involve partners that contribute in-kind resources or parallel funding and apply their own policies and procedures to achieve common objectives. Therefore, while UNDP does not ensure compliance with the SES beyond those activities funded through UNDP accounts, </w:t>
      </w:r>
      <w:r>
        <w:rPr>
          <w:rStyle w:val="ms-rtethemefontface-2"/>
          <w:rFonts w:ascii="Calibri" w:hAnsi="Calibri"/>
        </w:rPr>
        <w:t xml:space="preserve">the </w:t>
      </w:r>
      <w:r w:rsidRPr="00BD24EB">
        <w:rPr>
          <w:rStyle w:val="ms-rtethemefontface-2"/>
          <w:rFonts w:ascii="Calibri" w:hAnsi="Calibri"/>
        </w:rPr>
        <w:t xml:space="preserve">entire </w:t>
      </w:r>
      <w:r>
        <w:rPr>
          <w:rStyle w:val="ms-rtethemefontface-2"/>
          <w:rFonts w:ascii="Calibri" w:hAnsi="Calibri"/>
        </w:rPr>
        <w:t>p</w:t>
      </w:r>
      <w:r w:rsidRPr="00BD24EB">
        <w:rPr>
          <w:rStyle w:val="ms-rtethemefontface-2"/>
          <w:rFonts w:ascii="Calibri" w:hAnsi="Calibri"/>
        </w:rPr>
        <w:t xml:space="preserve">rogramme or </w:t>
      </w:r>
      <w:r>
        <w:rPr>
          <w:rStyle w:val="ms-rtethemefontface-2"/>
          <w:rFonts w:ascii="Calibri" w:hAnsi="Calibri"/>
        </w:rPr>
        <w:t>p</w:t>
      </w:r>
      <w:r w:rsidRPr="00BD24EB">
        <w:rPr>
          <w:rStyle w:val="ms-rtethemefontface-2"/>
          <w:rFonts w:ascii="Calibri" w:hAnsi="Calibri"/>
        </w:rPr>
        <w:t xml:space="preserve">roject </w:t>
      </w:r>
      <w:r>
        <w:rPr>
          <w:rStyle w:val="ms-rtethemefontface-2"/>
          <w:rFonts w:ascii="Calibri" w:hAnsi="Calibri"/>
        </w:rPr>
        <w:t xml:space="preserve">is reviewed </w:t>
      </w:r>
      <w:r w:rsidRPr="00BD24EB">
        <w:rPr>
          <w:rStyle w:val="ms-rtethemefontface-2"/>
          <w:rFonts w:ascii="Calibri" w:hAnsi="Calibri"/>
        </w:rPr>
        <w:t>for consistency with the requirements of the SES. All partners are bound to their respective commitments made within the partnership agreement (e.g.</w:t>
      </w:r>
      <w:r>
        <w:rPr>
          <w:rStyle w:val="ms-rtethemefontface-2"/>
          <w:rFonts w:ascii="Calibri" w:hAnsi="Calibri"/>
        </w:rPr>
        <w:t>,</w:t>
      </w:r>
      <w:r w:rsidRPr="00BD24EB">
        <w:rPr>
          <w:rStyle w:val="ms-rtethemefontface-2"/>
          <w:rFonts w:ascii="Calibri" w:hAnsi="Calibri"/>
        </w:rPr>
        <w:t xml:space="preserve"> Country Programme Action Plan, Annual Work Plan, Project Document, Joint Programme Document</w:t>
      </w:r>
      <w:r>
        <w:rPr>
          <w:rStyle w:val="ms-rtethemefontface-2"/>
          <w:rFonts w:ascii="Calibri" w:hAnsi="Calibri"/>
        </w:rPr>
        <w:t xml:space="preserve"> or</w:t>
      </w:r>
      <w:r w:rsidRPr="00BD24EB">
        <w:rPr>
          <w:rStyle w:val="ms-rtethemefontface-2"/>
          <w:rFonts w:ascii="Calibri" w:hAnsi="Calibri"/>
        </w:rPr>
        <w:t xml:space="preserve"> Letter of Agreement). </w:t>
      </w:r>
      <w:r>
        <w:rPr>
          <w:rStyle w:val="ms-rtethemefontface-2"/>
          <w:rFonts w:ascii="Calibri" w:hAnsi="Calibri"/>
        </w:rPr>
        <w:t xml:space="preserve">UNDP is responsible for informing all implementing partners, responsible parties and relevant contract holders of their obligations to address the SES in their respective activities. </w:t>
      </w:r>
    </w:p>
    <w:p w14:paraId="3A46FE14" w14:textId="77777777" w:rsidR="007C0D9B" w:rsidRPr="00AE5465" w:rsidRDefault="007C0D9B" w:rsidP="007C0D9B">
      <w:pPr>
        <w:spacing w:after="0" w:line="240" w:lineRule="auto"/>
        <w:jc w:val="both"/>
        <w:rPr>
          <w:rFonts w:ascii="Calibri" w:hAnsi="Calibri"/>
        </w:rPr>
      </w:pPr>
    </w:p>
    <w:p w14:paraId="508E0B53"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sidRPr="00BD24EB">
        <w:rPr>
          <w:rStyle w:val="ms-rtethemefontface-2"/>
          <w:rFonts w:ascii="Calibri" w:hAnsi="Calibri"/>
        </w:rPr>
        <w:t xml:space="preserve">When the </w:t>
      </w:r>
      <w:r>
        <w:rPr>
          <w:rStyle w:val="ms-rtethemefontface-2"/>
          <w:rFonts w:ascii="Calibri" w:hAnsi="Calibri"/>
        </w:rPr>
        <w:t>i</w:t>
      </w:r>
      <w:r w:rsidRPr="00BD24EB">
        <w:rPr>
          <w:rStyle w:val="ms-rtethemefontface-2"/>
          <w:rFonts w:ascii="Calibri" w:hAnsi="Calibri"/>
        </w:rPr>
        <w:t xml:space="preserve">mplementing </w:t>
      </w:r>
      <w:r>
        <w:rPr>
          <w:rStyle w:val="ms-rtethemefontface-2"/>
          <w:rFonts w:ascii="Calibri" w:hAnsi="Calibri"/>
        </w:rPr>
        <w:t>p</w:t>
      </w:r>
      <w:r w:rsidRPr="00BD24EB">
        <w:rPr>
          <w:rStyle w:val="ms-rtethemefontface-2"/>
          <w:rFonts w:ascii="Calibri" w:hAnsi="Calibri"/>
        </w:rPr>
        <w:t>artner is a government institution (</w:t>
      </w:r>
      <w:r>
        <w:rPr>
          <w:rStyle w:val="ms-rtethemefontface-2"/>
          <w:rFonts w:ascii="Calibri" w:hAnsi="Calibri"/>
        </w:rPr>
        <w:t>N</w:t>
      </w:r>
      <w:r w:rsidRPr="00BD24EB">
        <w:rPr>
          <w:rStyle w:val="ms-rtethemefontface-2"/>
          <w:rFonts w:ascii="Calibri" w:hAnsi="Calibri"/>
        </w:rPr>
        <w:t xml:space="preserve">ational </w:t>
      </w:r>
      <w:r>
        <w:rPr>
          <w:rStyle w:val="ms-rtethemefontface-2"/>
          <w:rFonts w:ascii="Calibri" w:hAnsi="Calibri"/>
        </w:rPr>
        <w:t>I</w:t>
      </w:r>
      <w:r w:rsidRPr="00BD24EB">
        <w:rPr>
          <w:rStyle w:val="ms-rtethemefontface-2"/>
          <w:rFonts w:ascii="Calibri" w:hAnsi="Calibri"/>
        </w:rPr>
        <w:t xml:space="preserve">mplementation </w:t>
      </w:r>
      <w:r>
        <w:rPr>
          <w:rStyle w:val="ms-rtethemefontface-2"/>
          <w:rFonts w:ascii="Calibri" w:hAnsi="Calibri"/>
        </w:rPr>
        <w:t>M</w:t>
      </w:r>
      <w:r w:rsidRPr="00BD24EB">
        <w:rPr>
          <w:rStyle w:val="ms-rtethemefontface-2"/>
          <w:rFonts w:ascii="Calibri" w:hAnsi="Calibri"/>
        </w:rPr>
        <w:t xml:space="preserve">odality or </w:t>
      </w:r>
      <w:r>
        <w:rPr>
          <w:rStyle w:val="ms-rtethemefontface-2"/>
          <w:rFonts w:ascii="Calibri" w:hAnsi="Calibri"/>
        </w:rPr>
        <w:t>“</w:t>
      </w:r>
      <w:r w:rsidRPr="00A03567">
        <w:rPr>
          <w:rStyle w:val="ms-rtethemefontface-2"/>
          <w:rFonts w:ascii="Calibri" w:hAnsi="Calibri"/>
        </w:rPr>
        <w:t>NIM</w:t>
      </w:r>
      <w:r>
        <w:rPr>
          <w:rStyle w:val="ms-rtethemefontface-2"/>
          <w:rFonts w:ascii="Calibri" w:hAnsi="Calibri"/>
        </w:rPr>
        <w:t>”</w:t>
      </w:r>
      <w:r w:rsidRPr="00BD24EB">
        <w:rPr>
          <w:rStyle w:val="ms-rtethemefontface-2"/>
          <w:rFonts w:ascii="Calibri" w:hAnsi="Calibri"/>
        </w:rPr>
        <w:t>), UN entity, inter</w:t>
      </w:r>
      <w:r>
        <w:rPr>
          <w:rStyle w:val="ms-rtethemefontface-2"/>
          <w:rFonts w:ascii="Calibri" w:hAnsi="Calibri"/>
        </w:rPr>
        <w:t>-</w:t>
      </w:r>
      <w:r w:rsidRPr="00BD24EB">
        <w:rPr>
          <w:rStyle w:val="ms-rtethemefontface-2"/>
          <w:rFonts w:ascii="Calibri" w:hAnsi="Calibri"/>
        </w:rPr>
        <w:t>governmental organization, or non</w:t>
      </w:r>
      <w:r>
        <w:rPr>
          <w:rStyle w:val="ms-rtethemefontface-2"/>
          <w:rFonts w:ascii="Calibri" w:hAnsi="Calibri"/>
        </w:rPr>
        <w:t>-</w:t>
      </w:r>
      <w:r w:rsidRPr="00BD24EB">
        <w:rPr>
          <w:rStyle w:val="ms-rtethemefontface-2"/>
          <w:rFonts w:ascii="Calibri" w:hAnsi="Calibri"/>
        </w:rPr>
        <w:t xml:space="preserve">governmental organization (NGO), it is responsible and accountable to UNDP for overall management of the </w:t>
      </w:r>
      <w:r>
        <w:rPr>
          <w:rStyle w:val="ms-rtethemefontface-2"/>
          <w:rFonts w:ascii="Calibri" w:hAnsi="Calibri"/>
        </w:rPr>
        <w:t>p</w:t>
      </w:r>
      <w:r w:rsidRPr="00BD24EB">
        <w:rPr>
          <w:rStyle w:val="ms-rtethemefontface-2"/>
          <w:rFonts w:ascii="Calibri" w:hAnsi="Calibri"/>
        </w:rPr>
        <w:t>roject. UNDP remains ultimately accountable to its Executive Board and respective donor(s) for the sound use of financial resources channe</w:t>
      </w:r>
      <w:r>
        <w:rPr>
          <w:rStyle w:val="ms-rtethemefontface-2"/>
          <w:rFonts w:ascii="Calibri" w:hAnsi="Calibri"/>
        </w:rPr>
        <w:t>l</w:t>
      </w:r>
      <w:r w:rsidRPr="00BD24EB">
        <w:rPr>
          <w:rStyle w:val="ms-rtethemefontface-2"/>
          <w:rFonts w:ascii="Calibri" w:hAnsi="Calibri"/>
        </w:rPr>
        <w:t>ed through UNDP accounts and must ensure the quality of its support.</w:t>
      </w:r>
      <w:r>
        <w:rPr>
          <w:rStyle w:val="ms-rtethemefontface-2"/>
          <w:rFonts w:ascii="Calibri" w:hAnsi="Calibri"/>
        </w:rPr>
        <w:t xml:space="preserve"> </w:t>
      </w:r>
      <w:r w:rsidRPr="00BD24EB">
        <w:rPr>
          <w:rStyle w:val="ms-rtethemefontface-2"/>
          <w:rFonts w:ascii="Calibri" w:hAnsi="Calibri"/>
        </w:rPr>
        <w:t xml:space="preserve">Implementation of the SES is therefore integral to UNDP’s quality assurance responsibilities. </w:t>
      </w:r>
    </w:p>
    <w:p w14:paraId="7455429F" w14:textId="77777777" w:rsidR="007C0D9B" w:rsidRPr="00AE5465" w:rsidRDefault="007C0D9B" w:rsidP="007C0D9B">
      <w:pPr>
        <w:spacing w:after="0" w:line="240" w:lineRule="auto"/>
        <w:jc w:val="both"/>
        <w:rPr>
          <w:rStyle w:val="ms-rtethemefontface-2"/>
          <w:rFonts w:ascii="Calibri" w:hAnsi="Calibri"/>
        </w:rPr>
      </w:pPr>
    </w:p>
    <w:p w14:paraId="05E9B4F1" w14:textId="77777777" w:rsidR="007C0D9B" w:rsidRDefault="007C0D9B" w:rsidP="007C0D9B">
      <w:pPr>
        <w:pStyle w:val="ListParagraph"/>
        <w:numPr>
          <w:ilvl w:val="0"/>
          <w:numId w:val="4"/>
        </w:numPr>
        <w:spacing w:after="0" w:line="240" w:lineRule="auto"/>
        <w:contextualSpacing w:val="0"/>
        <w:jc w:val="both"/>
        <w:rPr>
          <w:rStyle w:val="ms-rtethemefontface-2"/>
          <w:rFonts w:ascii="Calibri" w:hAnsi="Calibri"/>
        </w:rPr>
      </w:pPr>
      <w:r>
        <w:rPr>
          <w:rStyle w:val="ms-rtethemefontface-2"/>
          <w:rFonts w:ascii="Calibri" w:hAnsi="Calibri"/>
        </w:rPr>
        <w:t>Compliance with</w:t>
      </w:r>
      <w:r w:rsidRPr="00BD24EB">
        <w:rPr>
          <w:rStyle w:val="ms-rtethemefontface-2"/>
          <w:rFonts w:ascii="Calibri" w:hAnsi="Calibri"/>
        </w:rPr>
        <w:t xml:space="preserve"> the SES is reviewed </w:t>
      </w:r>
      <w:r>
        <w:rPr>
          <w:rStyle w:val="ms-rtethemefontface-2"/>
          <w:rFonts w:ascii="Calibri" w:hAnsi="Calibri"/>
        </w:rPr>
        <w:t xml:space="preserve">by UNDP throughout the programme and project management cycle </w:t>
      </w:r>
      <w:r w:rsidRPr="00BD24EB">
        <w:rPr>
          <w:rStyle w:val="ms-rtethemefontface-2"/>
          <w:rFonts w:ascii="Calibri" w:hAnsi="Calibri"/>
        </w:rPr>
        <w:t xml:space="preserve">as part of the </w:t>
      </w:r>
      <w:r>
        <w:rPr>
          <w:rStyle w:val="ms-rtethemefontface-2"/>
          <w:rFonts w:ascii="Calibri" w:hAnsi="Calibri"/>
        </w:rPr>
        <w:t xml:space="preserve">Programming </w:t>
      </w:r>
      <w:r w:rsidRPr="00BD24EB">
        <w:rPr>
          <w:rStyle w:val="ms-rtethemefontface-2"/>
          <w:rFonts w:ascii="Calibri" w:hAnsi="Calibri"/>
        </w:rPr>
        <w:t xml:space="preserve">Quality Assurance </w:t>
      </w:r>
      <w:r>
        <w:rPr>
          <w:rStyle w:val="ms-rtethemefontface-2"/>
          <w:rFonts w:ascii="Calibri" w:hAnsi="Calibri"/>
        </w:rPr>
        <w:t>system</w:t>
      </w:r>
      <w:r w:rsidRPr="00BD24EB">
        <w:rPr>
          <w:rStyle w:val="ms-rtethemefontface-2"/>
          <w:rFonts w:ascii="Calibri" w:hAnsi="Calibri"/>
        </w:rPr>
        <w:t xml:space="preserve">. The Social and Environmental Screening Procedure (SESP) is applied to identify potential </w:t>
      </w:r>
      <w:r>
        <w:rPr>
          <w:rStyle w:val="ms-rtethemefontface-2"/>
          <w:rFonts w:ascii="Calibri" w:hAnsi="Calibri"/>
        </w:rPr>
        <w:t xml:space="preserve">social and environmental </w:t>
      </w:r>
      <w:r w:rsidRPr="00BD24EB">
        <w:rPr>
          <w:rStyle w:val="ms-rtethemefontface-2"/>
          <w:rFonts w:ascii="Calibri" w:hAnsi="Calibri"/>
        </w:rPr>
        <w:t>risks and determine</w:t>
      </w:r>
      <w:r>
        <w:rPr>
          <w:rStyle w:val="ms-rtethemefontface-2"/>
          <w:rFonts w:ascii="Calibri" w:hAnsi="Calibri"/>
        </w:rPr>
        <w:t xml:space="preserve"> the appropriate type and </w:t>
      </w:r>
      <w:r w:rsidRPr="00BD24EB">
        <w:rPr>
          <w:rStyle w:val="ms-rtethemefontface-2"/>
          <w:rFonts w:ascii="Calibri" w:hAnsi="Calibri"/>
        </w:rPr>
        <w:t xml:space="preserve">level of social and environmental assessment and management required. Projects that consist </w:t>
      </w:r>
      <w:r w:rsidRPr="0094201B">
        <w:rPr>
          <w:rStyle w:val="ms-rtethemefontface-2"/>
          <w:rFonts w:ascii="Calibri" w:hAnsi="Calibri"/>
          <w:b/>
          <w:u w:val="single"/>
        </w:rPr>
        <w:t>solely</w:t>
      </w:r>
      <w:r w:rsidRPr="00BD24EB">
        <w:rPr>
          <w:rStyle w:val="ms-rtethemefontface-2"/>
          <w:rFonts w:ascii="Calibri" w:hAnsi="Calibri"/>
        </w:rPr>
        <w:t xml:space="preserve"> of </w:t>
      </w:r>
      <w:r>
        <w:rPr>
          <w:rStyle w:val="ms-rtethemefontface-2"/>
          <w:rFonts w:ascii="Calibri" w:hAnsi="Calibri"/>
        </w:rPr>
        <w:t>any of the</w:t>
      </w:r>
      <w:r w:rsidRPr="00BD24EB">
        <w:rPr>
          <w:rStyle w:val="ms-rtethemefontface-2"/>
          <w:rFonts w:ascii="Calibri" w:hAnsi="Calibri"/>
        </w:rPr>
        <w:t xml:space="preserve"> following </w:t>
      </w:r>
      <w:r>
        <w:rPr>
          <w:rStyle w:val="ms-rtethemefontface-2"/>
          <w:rFonts w:ascii="Calibri" w:hAnsi="Calibri"/>
        </w:rPr>
        <w:t>functions or activities</w:t>
      </w:r>
      <w:r w:rsidRPr="00BD24EB">
        <w:rPr>
          <w:rStyle w:val="ms-rtethemefontface-2"/>
          <w:rFonts w:ascii="Calibri" w:hAnsi="Calibri"/>
        </w:rPr>
        <w:t xml:space="preserve"> </w:t>
      </w:r>
      <w:r>
        <w:rPr>
          <w:rStyle w:val="ms-rtethemefontface-2"/>
          <w:rFonts w:ascii="Calibri" w:hAnsi="Calibri"/>
        </w:rPr>
        <w:t>are</w:t>
      </w:r>
      <w:r w:rsidRPr="00BD24EB">
        <w:rPr>
          <w:rStyle w:val="ms-rtethemefontface-2"/>
          <w:rFonts w:ascii="Calibri" w:hAnsi="Calibri"/>
        </w:rPr>
        <w:t xml:space="preserve"> exempt from the SESP requirement: </w:t>
      </w:r>
    </w:p>
    <w:p w14:paraId="71CF39AB" w14:textId="77777777" w:rsidR="007C0D9B" w:rsidRPr="00AE5465" w:rsidRDefault="007C0D9B" w:rsidP="007C0D9B">
      <w:pPr>
        <w:spacing w:after="0" w:line="240" w:lineRule="auto"/>
        <w:jc w:val="both"/>
        <w:rPr>
          <w:rStyle w:val="ms-rtethemefontface-2"/>
          <w:rFonts w:ascii="Calibri" w:hAnsi="Calibri"/>
        </w:rPr>
      </w:pPr>
    </w:p>
    <w:p w14:paraId="35E45733" w14:textId="77777777" w:rsidR="007C0D9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Pr>
          <w:rFonts w:ascii="Calibri" w:hAnsi="Calibri" w:cs="Arial"/>
          <w:lang w:val="en-GB"/>
        </w:rPr>
        <w:t>UNDP serves as Administrative Agent;</w:t>
      </w:r>
    </w:p>
    <w:p w14:paraId="13F1FF98" w14:textId="77777777" w:rsidR="007C0D9B" w:rsidRPr="00EE5176"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EE5176">
        <w:rPr>
          <w:rFonts w:ascii="Calibri" w:hAnsi="Calibri" w:cs="Arial"/>
          <w:lang w:val="en-GB"/>
        </w:rPr>
        <w:t>Preparation and dissemination of reports, documents and communication materials</w:t>
      </w:r>
      <w:r>
        <w:rPr>
          <w:rFonts w:ascii="Calibri" w:hAnsi="Calibri" w:cs="Arial"/>
          <w:lang w:val="en-GB"/>
        </w:rPr>
        <w:t xml:space="preserve">; </w:t>
      </w:r>
    </w:p>
    <w:p w14:paraId="45E7294F" w14:textId="77777777" w:rsidR="007C0D9B" w:rsidRPr="00BD24E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Organization of an event, workshop</w:t>
      </w:r>
      <w:r>
        <w:rPr>
          <w:rFonts w:ascii="Calibri" w:hAnsi="Calibri" w:cs="Arial"/>
          <w:lang w:val="en-GB"/>
        </w:rPr>
        <w:t>, or</w:t>
      </w:r>
      <w:r w:rsidRPr="00BD24EB">
        <w:rPr>
          <w:rFonts w:ascii="Calibri" w:hAnsi="Calibri" w:cs="Arial"/>
          <w:lang w:val="en-GB"/>
        </w:rPr>
        <w:t xml:space="preserve"> training</w:t>
      </w:r>
      <w:r>
        <w:rPr>
          <w:rFonts w:ascii="Calibri" w:hAnsi="Calibri" w:cs="Arial"/>
          <w:lang w:val="en-GB"/>
        </w:rPr>
        <w:t xml:space="preserve">; </w:t>
      </w:r>
    </w:p>
    <w:p w14:paraId="5028934A" w14:textId="77777777" w:rsidR="007C0D9B" w:rsidRPr="00BD24E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Strengthening capacities of partners to participate in international negotiations and conferences</w:t>
      </w:r>
      <w:r>
        <w:rPr>
          <w:rFonts w:ascii="Calibri" w:hAnsi="Calibri" w:cs="Arial"/>
          <w:lang w:val="en-GB"/>
        </w:rPr>
        <w:t>;</w:t>
      </w:r>
    </w:p>
    <w:p w14:paraId="3FA764AF" w14:textId="77777777" w:rsidR="007C0D9B" w:rsidRPr="00BD24E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Partnership coordination (including UN coordination) and management of networks</w:t>
      </w:r>
      <w:r>
        <w:rPr>
          <w:rFonts w:ascii="Calibri" w:hAnsi="Calibri" w:cs="Arial"/>
          <w:lang w:val="en-GB"/>
        </w:rPr>
        <w:t>;</w:t>
      </w:r>
      <w:r w:rsidRPr="00BD24EB">
        <w:rPr>
          <w:rFonts w:ascii="Calibri" w:hAnsi="Calibri" w:cs="Arial"/>
          <w:lang w:val="en-GB"/>
        </w:rPr>
        <w:t xml:space="preserve"> </w:t>
      </w:r>
      <w:r>
        <w:rPr>
          <w:rFonts w:ascii="Calibri" w:hAnsi="Calibri" w:cs="Arial"/>
          <w:lang w:val="en-GB"/>
        </w:rPr>
        <w:t>and/or</w:t>
      </w:r>
    </w:p>
    <w:p w14:paraId="13CE6F82" w14:textId="77777777" w:rsidR="007C0D9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sidRPr="00BD24EB">
        <w:rPr>
          <w:rFonts w:ascii="Calibri" w:hAnsi="Calibri" w:cs="Arial"/>
          <w:lang w:val="en-GB"/>
        </w:rPr>
        <w:t xml:space="preserve">Global/regional projects with no country level activities (e.g. </w:t>
      </w:r>
      <w:r>
        <w:rPr>
          <w:rFonts w:ascii="Calibri" w:hAnsi="Calibri" w:cs="Arial"/>
          <w:lang w:val="en-GB"/>
        </w:rPr>
        <w:t xml:space="preserve">activities such as </w:t>
      </w:r>
      <w:r w:rsidRPr="00BD24EB">
        <w:rPr>
          <w:rFonts w:ascii="Calibri" w:hAnsi="Calibri" w:cs="Arial"/>
          <w:lang w:val="en-GB"/>
        </w:rPr>
        <w:t>knowledge management, inter</w:t>
      </w:r>
      <w:r>
        <w:rPr>
          <w:rFonts w:ascii="Calibri" w:hAnsi="Calibri" w:cs="Arial"/>
          <w:lang w:val="en-GB"/>
        </w:rPr>
        <w:t>-</w:t>
      </w:r>
      <w:r w:rsidRPr="00BD24EB">
        <w:rPr>
          <w:rFonts w:ascii="Calibri" w:hAnsi="Calibri" w:cs="Arial"/>
          <w:lang w:val="en-GB"/>
        </w:rPr>
        <w:t>governmental processes)</w:t>
      </w:r>
      <w:r>
        <w:rPr>
          <w:rFonts w:ascii="Calibri" w:hAnsi="Calibri" w:cs="Arial"/>
          <w:lang w:val="en-GB"/>
        </w:rPr>
        <w:t>;</w:t>
      </w:r>
    </w:p>
    <w:p w14:paraId="71989136" w14:textId="77777777" w:rsidR="007C0D9B" w:rsidRDefault="007C0D9B" w:rsidP="007C0D9B">
      <w:pPr>
        <w:numPr>
          <w:ilvl w:val="1"/>
          <w:numId w:val="3"/>
        </w:numPr>
        <w:shd w:val="clear" w:color="auto" w:fill="FFFFFF"/>
        <w:tabs>
          <w:tab w:val="clear" w:pos="1440"/>
        </w:tabs>
        <w:spacing w:after="0" w:line="240" w:lineRule="auto"/>
        <w:jc w:val="both"/>
        <w:rPr>
          <w:rFonts w:ascii="Calibri" w:hAnsi="Calibri" w:cs="Arial"/>
          <w:lang w:val="en-GB"/>
        </w:rPr>
      </w:pPr>
      <w:r>
        <w:rPr>
          <w:rFonts w:ascii="Calibri" w:hAnsi="Calibri" w:cs="Arial"/>
          <w:lang w:val="en-GB"/>
        </w:rPr>
        <w:t>Development Effectiveness projects and Institutional Effectiveness projects.</w:t>
      </w:r>
      <w:r w:rsidRPr="00BD24EB">
        <w:rPr>
          <w:rFonts w:ascii="Calibri" w:hAnsi="Calibri" w:cs="Arial"/>
          <w:lang w:val="en-GB"/>
        </w:rPr>
        <w:t xml:space="preserve"> </w:t>
      </w:r>
    </w:p>
    <w:p w14:paraId="0507AD4C" w14:textId="77777777" w:rsidR="007C0D9B" w:rsidRPr="00BD24EB" w:rsidRDefault="007C0D9B" w:rsidP="007C0D9B">
      <w:pPr>
        <w:shd w:val="clear" w:color="auto" w:fill="FFFFFF"/>
        <w:spacing w:after="0" w:line="240" w:lineRule="auto"/>
        <w:ind w:left="1440"/>
        <w:jc w:val="both"/>
        <w:rPr>
          <w:rFonts w:ascii="Calibri" w:hAnsi="Calibri" w:cs="Arial"/>
          <w:lang w:val="en-GB"/>
        </w:rPr>
      </w:pPr>
    </w:p>
    <w:p w14:paraId="128FE6A6" w14:textId="77777777" w:rsidR="007C0D9B" w:rsidRDefault="007C0D9B" w:rsidP="007C0D9B">
      <w:pPr>
        <w:pStyle w:val="ListParagraph"/>
        <w:numPr>
          <w:ilvl w:val="0"/>
          <w:numId w:val="4"/>
        </w:numPr>
        <w:spacing w:after="0" w:line="240" w:lineRule="auto"/>
        <w:contextualSpacing w:val="0"/>
        <w:jc w:val="both"/>
        <w:rPr>
          <w:rFonts w:ascii="Calibri" w:hAnsi="Calibri"/>
        </w:rPr>
      </w:pPr>
      <w:r>
        <w:rPr>
          <w:rFonts w:ascii="Calibri" w:hAnsi="Calibri"/>
        </w:rPr>
        <w:t>UNDP’s social and environmental management system ensures the SES are applied through the programming cycle and includes the following elements :</w:t>
      </w:r>
    </w:p>
    <w:p w14:paraId="35901DF6" w14:textId="77777777" w:rsidR="007C0D9B" w:rsidRPr="00BD24EB" w:rsidRDefault="007C0D9B" w:rsidP="007C0D9B">
      <w:pPr>
        <w:pStyle w:val="ListParagraph"/>
        <w:numPr>
          <w:ilvl w:val="1"/>
          <w:numId w:val="4"/>
        </w:numPr>
        <w:spacing w:after="0" w:line="240" w:lineRule="auto"/>
        <w:ind w:left="1642" w:hanging="562"/>
        <w:contextualSpacing w:val="0"/>
        <w:rPr>
          <w:rFonts w:ascii="Calibri" w:hAnsi="Calibri"/>
        </w:rPr>
      </w:pPr>
      <w:r>
        <w:rPr>
          <w:rFonts w:ascii="Calibri" w:hAnsi="Calibri"/>
        </w:rPr>
        <w:t>Q</w:t>
      </w:r>
      <w:r w:rsidRPr="00BD24EB">
        <w:rPr>
          <w:rFonts w:ascii="Calibri" w:hAnsi="Calibri"/>
        </w:rPr>
        <w:t xml:space="preserve">uality assurance </w:t>
      </w:r>
      <w:r>
        <w:rPr>
          <w:rFonts w:ascii="Calibri" w:hAnsi="Calibri"/>
        </w:rPr>
        <w:t>and risk management;</w:t>
      </w:r>
    </w:p>
    <w:p w14:paraId="74DA2DEC" w14:textId="77777777" w:rsidR="007C0D9B" w:rsidRPr="00BD24EB" w:rsidRDefault="007C0D9B" w:rsidP="007C0D9B">
      <w:pPr>
        <w:pStyle w:val="ListParagraph"/>
        <w:numPr>
          <w:ilvl w:val="1"/>
          <w:numId w:val="4"/>
        </w:numPr>
        <w:spacing w:after="0" w:line="240" w:lineRule="auto"/>
        <w:ind w:left="1642" w:hanging="562"/>
        <w:contextualSpacing w:val="0"/>
        <w:rPr>
          <w:rFonts w:ascii="Calibri" w:hAnsi="Calibri"/>
        </w:rPr>
      </w:pPr>
      <w:r>
        <w:rPr>
          <w:rFonts w:ascii="Calibri" w:hAnsi="Calibri"/>
        </w:rPr>
        <w:t>Screening, assessment and management of social and environmental risks and impacts;</w:t>
      </w:r>
    </w:p>
    <w:p w14:paraId="7120A27B" w14:textId="77777777" w:rsidR="007C0D9B" w:rsidRDefault="007C0D9B" w:rsidP="007C0D9B">
      <w:pPr>
        <w:pStyle w:val="ListParagraph"/>
        <w:numPr>
          <w:ilvl w:val="1"/>
          <w:numId w:val="4"/>
        </w:numPr>
        <w:spacing w:after="0" w:line="240" w:lineRule="auto"/>
        <w:ind w:left="1642" w:hanging="562"/>
        <w:contextualSpacing w:val="0"/>
        <w:jc w:val="both"/>
        <w:rPr>
          <w:rFonts w:ascii="Calibri" w:hAnsi="Calibri"/>
        </w:rPr>
      </w:pPr>
      <w:r>
        <w:rPr>
          <w:rFonts w:ascii="Calibri" w:hAnsi="Calibri"/>
        </w:rPr>
        <w:t>Stakeholder engagement and response mechanisms;</w:t>
      </w:r>
    </w:p>
    <w:p w14:paraId="0C062A52" w14:textId="77777777" w:rsidR="007C0D9B" w:rsidRPr="00BD24EB" w:rsidRDefault="007C0D9B" w:rsidP="007C0D9B">
      <w:pPr>
        <w:pStyle w:val="ListParagraph"/>
        <w:numPr>
          <w:ilvl w:val="1"/>
          <w:numId w:val="4"/>
        </w:numPr>
        <w:spacing w:after="0" w:line="240" w:lineRule="auto"/>
        <w:ind w:left="1642" w:hanging="562"/>
        <w:contextualSpacing w:val="0"/>
        <w:rPr>
          <w:rFonts w:ascii="Calibri" w:hAnsi="Calibri"/>
        </w:rPr>
      </w:pPr>
      <w:r>
        <w:rPr>
          <w:rFonts w:ascii="Calibri" w:hAnsi="Calibri"/>
        </w:rPr>
        <w:t>Access to information; and</w:t>
      </w:r>
      <w:r w:rsidRPr="00BD24EB">
        <w:rPr>
          <w:rFonts w:ascii="Calibri" w:hAnsi="Calibri"/>
        </w:rPr>
        <w:t xml:space="preserve"> </w:t>
      </w:r>
    </w:p>
    <w:p w14:paraId="77D166AC" w14:textId="09057974" w:rsidR="003F5B47" w:rsidRPr="007C0D9B" w:rsidRDefault="007C0D9B" w:rsidP="007C0D9B">
      <w:pPr>
        <w:pStyle w:val="ListParagraph"/>
        <w:numPr>
          <w:ilvl w:val="1"/>
          <w:numId w:val="4"/>
        </w:numPr>
        <w:spacing w:after="0" w:line="240" w:lineRule="auto"/>
        <w:ind w:left="1642" w:hanging="562"/>
        <w:contextualSpacing w:val="0"/>
        <w:jc w:val="both"/>
      </w:pPr>
      <w:r>
        <w:rPr>
          <w:rFonts w:ascii="Calibri" w:hAnsi="Calibri"/>
        </w:rPr>
        <w:t>Monitoring, reporting and compliance.</w:t>
      </w:r>
    </w:p>
    <w:sectPr w:rsidR="003F5B47" w:rsidRPr="007C0D9B" w:rsidSect="006625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A9BB" w14:textId="77777777" w:rsidR="00565256" w:rsidRDefault="00565256" w:rsidP="009A4473">
      <w:pPr>
        <w:spacing w:after="0" w:line="240" w:lineRule="auto"/>
      </w:pPr>
      <w:r>
        <w:separator/>
      </w:r>
    </w:p>
  </w:endnote>
  <w:endnote w:type="continuationSeparator" w:id="0">
    <w:p w14:paraId="0A855908" w14:textId="77777777" w:rsidR="00565256" w:rsidRDefault="00565256" w:rsidP="009A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D95A" w14:textId="77777777" w:rsidR="009461D3" w:rsidRDefault="009461D3"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37400" w14:textId="77777777" w:rsidR="009461D3" w:rsidRDefault="009461D3" w:rsidP="00946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624ED" w14:textId="05313BF1" w:rsidR="009461D3" w:rsidRDefault="00B072E7" w:rsidP="00B146B4">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Effective Date: 01/01/2021</w:t>
    </w:r>
    <w:r>
      <w:ptab w:relativeTo="margin" w:alignment="right" w:leader="none"/>
    </w:r>
    <w:r>
      <w:t>v.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203F" w14:textId="77777777" w:rsidR="005F0F18" w:rsidRDefault="005F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9B2B" w14:textId="77777777" w:rsidR="00565256" w:rsidRDefault="00565256" w:rsidP="009A4473">
      <w:pPr>
        <w:spacing w:after="0" w:line="240" w:lineRule="auto"/>
      </w:pPr>
      <w:r>
        <w:separator/>
      </w:r>
    </w:p>
  </w:footnote>
  <w:footnote w:type="continuationSeparator" w:id="0">
    <w:p w14:paraId="6C89AD74" w14:textId="77777777" w:rsidR="00565256" w:rsidRDefault="00565256" w:rsidP="009A4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34E1" w14:textId="77777777" w:rsidR="005F0F18" w:rsidRDefault="005F0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00E7" w14:textId="77777777" w:rsidR="009A4473" w:rsidRDefault="009A4473" w:rsidP="009A4473">
    <w:pPr>
      <w:pStyle w:val="Header"/>
      <w:jc w:val="right"/>
    </w:pPr>
    <w:r>
      <w:rPr>
        <w:noProof/>
      </w:rPr>
      <w:drawing>
        <wp:inline distT="0" distB="0" distL="0" distR="0" wp14:anchorId="72B11B5B" wp14:editId="759BA2BE">
          <wp:extent cx="298580" cy="585963"/>
          <wp:effectExtent l="0" t="0" r="635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642"/>
                  <a:stretch/>
                </pic:blipFill>
                <pic:spPr bwMode="auto">
                  <a:xfrm>
                    <a:off x="0" y="0"/>
                    <a:ext cx="303059"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4671" w14:textId="77777777" w:rsidR="005F0F18" w:rsidRDefault="005F0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D3468"/>
    <w:multiLevelType w:val="hybridMultilevel"/>
    <w:tmpl w:val="F7646C48"/>
    <w:lvl w:ilvl="0" w:tplc="51024328">
      <w:start w:val="1"/>
      <w:numFmt w:val="decimal"/>
      <w:lvlText w:val="%1."/>
      <w:lvlJc w:val="left"/>
      <w:pPr>
        <w:ind w:left="720" w:hanging="360"/>
      </w:pPr>
      <w:rPr>
        <w:rFonts w:hint="default"/>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6DC5E4A"/>
    <w:multiLevelType w:val="multilevel"/>
    <w:tmpl w:val="FE92B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AD7C2C"/>
    <w:multiLevelType w:val="multilevel"/>
    <w:tmpl w:val="E042CF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C977441"/>
    <w:multiLevelType w:val="hybridMultilevel"/>
    <w:tmpl w:val="D79C384A"/>
    <w:lvl w:ilvl="0" w:tplc="E0026706">
      <w:start w:val="1"/>
      <w:numFmt w:val="decimal"/>
      <w:lvlText w:val="%1."/>
      <w:lvlJc w:val="left"/>
      <w:pPr>
        <w:ind w:left="720" w:hanging="360"/>
      </w:pPr>
      <w:rPr>
        <w:rFonts w:hint="default"/>
        <w:b w:val="0"/>
        <w:bCs w:val="0"/>
        <w:sz w:val="22"/>
      </w:rPr>
    </w:lvl>
    <w:lvl w:ilvl="1" w:tplc="04090019">
      <w:start w:val="1"/>
      <w:numFmt w:val="lowerLetter"/>
      <w:lvlText w:val="%2."/>
      <w:lvlJc w:val="left"/>
      <w:pPr>
        <w:ind w:left="1635" w:hanging="55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239631250">
    <w:abstractNumId w:val="0"/>
  </w:num>
  <w:num w:numId="2" w16cid:durableId="596910099">
    <w:abstractNumId w:val="2"/>
  </w:num>
  <w:num w:numId="3" w16cid:durableId="1784152684">
    <w:abstractNumId w:val="1"/>
  </w:num>
  <w:num w:numId="4" w16cid:durableId="46782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473"/>
    <w:rsid w:val="000B6974"/>
    <w:rsid w:val="001E4BA1"/>
    <w:rsid w:val="001F7ABB"/>
    <w:rsid w:val="0025798E"/>
    <w:rsid w:val="00267461"/>
    <w:rsid w:val="002B42BF"/>
    <w:rsid w:val="002D340F"/>
    <w:rsid w:val="002E1826"/>
    <w:rsid w:val="003F5B47"/>
    <w:rsid w:val="0040390E"/>
    <w:rsid w:val="00565256"/>
    <w:rsid w:val="00566F7D"/>
    <w:rsid w:val="00585708"/>
    <w:rsid w:val="005C2325"/>
    <w:rsid w:val="005E1DA7"/>
    <w:rsid w:val="005F0F18"/>
    <w:rsid w:val="00606F5F"/>
    <w:rsid w:val="00662578"/>
    <w:rsid w:val="00664FB1"/>
    <w:rsid w:val="00734529"/>
    <w:rsid w:val="007A3C91"/>
    <w:rsid w:val="007C0D9B"/>
    <w:rsid w:val="007C5243"/>
    <w:rsid w:val="008B5D1F"/>
    <w:rsid w:val="008E13C0"/>
    <w:rsid w:val="009461D3"/>
    <w:rsid w:val="009A4473"/>
    <w:rsid w:val="00AE5465"/>
    <w:rsid w:val="00B072E7"/>
    <w:rsid w:val="00B146B4"/>
    <w:rsid w:val="00B47A55"/>
    <w:rsid w:val="00C12E53"/>
    <w:rsid w:val="00C158EB"/>
    <w:rsid w:val="00C82BB5"/>
    <w:rsid w:val="00CA5661"/>
    <w:rsid w:val="00E35B54"/>
    <w:rsid w:val="00E66D4B"/>
    <w:rsid w:val="00F10450"/>
    <w:rsid w:val="00F86FB9"/>
    <w:rsid w:val="00FB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87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566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A4473"/>
    <w:pPr>
      <w:ind w:left="720"/>
      <w:contextualSpacing/>
    </w:pPr>
  </w:style>
  <w:style w:type="character" w:styleId="Hyperlink">
    <w:name w:val="Hyperlink"/>
    <w:basedOn w:val="DefaultParagraphFont"/>
    <w:uiPriority w:val="99"/>
    <w:unhideWhenUsed/>
    <w:rsid w:val="009A4473"/>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A4473"/>
    <w:rPr>
      <w:sz w:val="22"/>
      <w:szCs w:val="22"/>
    </w:rPr>
  </w:style>
  <w:style w:type="character" w:customStyle="1" w:styleId="ms-rtethemefontface-2">
    <w:name w:val="ms-rtethemefontface-2"/>
    <w:basedOn w:val="DefaultParagraphFont"/>
    <w:rsid w:val="009A4473"/>
  </w:style>
  <w:style w:type="paragraph" w:styleId="Header">
    <w:name w:val="header"/>
    <w:basedOn w:val="Normal"/>
    <w:link w:val="HeaderChar"/>
    <w:uiPriority w:val="99"/>
    <w:unhideWhenUsed/>
    <w:rsid w:val="009A4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473"/>
    <w:rPr>
      <w:sz w:val="22"/>
      <w:szCs w:val="22"/>
    </w:rPr>
  </w:style>
  <w:style w:type="paragraph" w:styleId="Footer">
    <w:name w:val="footer"/>
    <w:basedOn w:val="Normal"/>
    <w:link w:val="FooterChar"/>
    <w:uiPriority w:val="99"/>
    <w:unhideWhenUsed/>
    <w:rsid w:val="009A4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73"/>
    <w:rPr>
      <w:sz w:val="22"/>
      <w:szCs w:val="22"/>
    </w:rPr>
  </w:style>
  <w:style w:type="character" w:styleId="PageNumber">
    <w:name w:val="page number"/>
    <w:basedOn w:val="DefaultParagraphFont"/>
    <w:uiPriority w:val="99"/>
    <w:semiHidden/>
    <w:unhideWhenUsed/>
    <w:rsid w:val="009461D3"/>
  </w:style>
  <w:style w:type="character" w:styleId="PlaceholderText">
    <w:name w:val="Placeholder Text"/>
    <w:basedOn w:val="DefaultParagraphFont"/>
    <w:uiPriority w:val="99"/>
    <w:semiHidden/>
    <w:rsid w:val="00B146B4"/>
    <w:rPr>
      <w:color w:val="808080"/>
    </w:rPr>
  </w:style>
  <w:style w:type="paragraph" w:styleId="BalloonText">
    <w:name w:val="Balloon Text"/>
    <w:basedOn w:val="Normal"/>
    <w:link w:val="BalloonTextChar"/>
    <w:uiPriority w:val="99"/>
    <w:semiHidden/>
    <w:unhideWhenUsed/>
    <w:rsid w:val="007A3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C91"/>
    <w:rPr>
      <w:rFonts w:ascii="Segoe UI" w:hAnsi="Segoe UI" w:cs="Segoe UI"/>
      <w:sz w:val="18"/>
      <w:szCs w:val="18"/>
    </w:rPr>
  </w:style>
  <w:style w:type="character" w:styleId="FollowedHyperlink">
    <w:name w:val="FollowedHyperlink"/>
    <w:basedOn w:val="DefaultParagraphFont"/>
    <w:uiPriority w:val="99"/>
    <w:semiHidden/>
    <w:unhideWhenUsed/>
    <w:rsid w:val="003F5B47"/>
    <w:rPr>
      <w:color w:val="954F72" w:themeColor="followedHyperlink"/>
      <w:u w:val="single"/>
    </w:rPr>
  </w:style>
  <w:style w:type="character" w:customStyle="1" w:styleId="UnresolvedMention1">
    <w:name w:val="Unresolved Mention1"/>
    <w:basedOn w:val="DefaultParagraphFont"/>
    <w:uiPriority w:val="99"/>
    <w:semiHidden/>
    <w:unhideWhenUsed/>
    <w:rsid w:val="00C1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dp.org/content/undp/en/home/librarypage/operations1/undp-social-and-environmental-standard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01/01/2021                                                Version #: 5.0</DLCPolicyLabelClientValue>
    <UNDP_POPP_PLANNED_REVIEWDATE xmlns="8264c5cc-ec60-4b56-8111-ce635d3d139a">2023-12-31T23:00:00+00:00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2020-12-31T23:00:00+00:00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Social and Environmental Standards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7680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POPP-11-2601</_dlc_DocId>
    <_dlc_DocIdUrl xmlns="8264c5cc-ec60-4b56-8111-ce635d3d139a">
      <Url>https://popp.undp.org/_layouts/15/DocIdRedir.aspx?ID=POPP-11-2601</Url>
      <Description>POPP-11-2601</Description>
    </_dlc_DocIdUrl>
    <DLCPolicyLabelValue xmlns="e560140e-7b2f-4392-90df-e7567e3021a3">Effective Date: 01/01/2021                                                Version #: 5</DLCPolicyLabelVal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A89B28D-1CDD-409B-A20D-86ABD0280511}">
  <ds:schemaRefs>
    <ds:schemaRef ds:uri="http://schemas.microsoft.com/sharepoint/v3/contenttype/forms"/>
  </ds:schemaRefs>
</ds:datastoreItem>
</file>

<file path=customXml/itemProps2.xml><?xml version="1.0" encoding="utf-8"?>
<ds:datastoreItem xmlns:ds="http://schemas.openxmlformats.org/officeDocument/2006/customXml" ds:itemID="{ED4E42A4-D264-4ED9-AEE2-847D08E6546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34BB18E-0FEC-4533-8EFC-C92AEABB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D45BF-80E7-4DC0-A549-1A48F72B9C5D}">
  <ds:schemaRefs>
    <ds:schemaRef ds:uri="http://schemas.microsoft.com/sharepoint/events"/>
  </ds:schemaRefs>
</ds:datastoreItem>
</file>

<file path=customXml/itemProps5.xml><?xml version="1.0" encoding="utf-8"?>
<ds:datastoreItem xmlns:ds="http://schemas.openxmlformats.org/officeDocument/2006/customXml" ds:itemID="{439D9FF0-C46B-4E89-96D0-03855381F37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6</cp:revision>
  <dcterms:created xsi:type="dcterms:W3CDTF">2020-12-28T23:11:00Z</dcterms:created>
  <dcterms:modified xsi:type="dcterms:W3CDTF">2024-05-24T09:46:00Z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8ff2e7a6-14b9-4a25-80d1-599fda094015</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