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ABDD" w14:textId="77777777" w:rsidR="000D7141" w:rsidRPr="004B4009" w:rsidRDefault="000D7141" w:rsidP="000D7141">
      <w:pPr>
        <w:spacing w:after="0" w:line="240" w:lineRule="auto"/>
        <w:rPr>
          <w:rFonts w:cstheme="minorHAnsi"/>
          <w:b/>
          <w:bCs/>
          <w:sz w:val="24"/>
          <w:szCs w:val="24"/>
        </w:rPr>
      </w:pPr>
      <w:r>
        <w:rPr>
          <w:b/>
          <w:bCs/>
          <w:sz w:val="24"/>
          <w:szCs w:val="24"/>
        </w:rPr>
        <w:t>A1.2. Proyectos de cooperación multinacional y Sur-Sur</w:t>
      </w:r>
    </w:p>
    <w:p w14:paraId="46961926" w14:textId="77777777" w:rsidR="000D7141" w:rsidRPr="004B4009" w:rsidRDefault="000D7141" w:rsidP="000D7141">
      <w:pPr>
        <w:spacing w:after="0" w:line="240" w:lineRule="auto"/>
        <w:rPr>
          <w:rFonts w:cstheme="minorHAnsi"/>
        </w:rPr>
      </w:pPr>
    </w:p>
    <w:p w14:paraId="4B21C6C9" w14:textId="7F704AAB" w:rsidR="000D7141" w:rsidRPr="00A72978" w:rsidRDefault="000D7141" w:rsidP="000D7141">
      <w:pPr>
        <w:pStyle w:val="ListParagraph"/>
        <w:numPr>
          <w:ilvl w:val="0"/>
          <w:numId w:val="1"/>
        </w:numPr>
        <w:spacing w:after="120" w:line="240" w:lineRule="auto"/>
        <w:ind w:left="360"/>
        <w:contextualSpacing w:val="0"/>
        <w:jc w:val="both"/>
        <w:rPr>
          <w:rFonts w:cstheme="minorHAnsi"/>
        </w:rPr>
      </w:pPr>
      <w:r>
        <w:t xml:space="preserve">Los proyectos ejecutados en múltiples países pueden usar el tipo de proyecto multinacional. Es apropiado cuando se requiere que múltiples países contribuyan eficiente, eficaz y responsablemente a resultados conjuntos en términos equitativos, lo que mejora las oportunidades de lograr resultados sustantivos y operativos. Un proyecto multinacional se considera un proyecto único para fines de gestión de proyectos y tiene un documento del proyecto unificado que incluye un marco de resultados y recursos conjuntos y que describe las intervenciones en cada país participante. En </w:t>
      </w:r>
      <w:r w:rsidR="002C1188">
        <w:t>Quantum</w:t>
      </w:r>
      <w:r>
        <w:t>, el proyecto se configura como un conjunto de proyectos subsidiarios «relacionados»,</w:t>
      </w:r>
      <w:r w:rsidRPr="00A72978">
        <w:rPr>
          <w:rStyle w:val="FootnoteReference"/>
          <w:rFonts w:cstheme="minorHAnsi"/>
          <w:lang w:val="en-GB"/>
        </w:rPr>
        <w:footnoteReference w:id="1"/>
      </w:r>
      <w:r>
        <w:t xml:space="preserve"> uno para cada país que tenga intervenciones allí sobre la base de un marco de resultados y recursos subsidiarios.</w:t>
      </w:r>
    </w:p>
    <w:p w14:paraId="69D3EC1A" w14:textId="77777777" w:rsidR="000D7141" w:rsidRPr="00A72978" w:rsidRDefault="000D7141" w:rsidP="000D7141">
      <w:pPr>
        <w:pStyle w:val="ListParagraph"/>
        <w:numPr>
          <w:ilvl w:val="0"/>
          <w:numId w:val="1"/>
        </w:numPr>
        <w:spacing w:after="120" w:line="240" w:lineRule="auto"/>
        <w:ind w:left="360"/>
        <w:contextualSpacing w:val="0"/>
        <w:jc w:val="both"/>
        <w:rPr>
          <w:rFonts w:cstheme="minorHAnsi"/>
        </w:rPr>
      </w:pPr>
      <w:r>
        <w:t xml:space="preserve">Se puede designar un asociado en la ejecución en cada país participante. Las modalidades de implementación combinadas son posibles, siempre que haya </w:t>
      </w:r>
      <w:r>
        <w:rPr>
          <w:u w:val="single"/>
        </w:rPr>
        <w:t>un</w:t>
      </w:r>
      <w:r>
        <w:t xml:space="preserve"> asociado en la ejecución claro por país. Se deben mantener líneas claras de rendición de cuentas para las actividades y los productos completados en cada país. Esto incluye preparar y aprobar planes de trabajo plurianuales para cada asociado en la ejecución. Los productos que entregarán los diferentes países pueden compartir el mismo nombre de producto y ser parte del mismo producto en el marco de resultados y recursos integrados. Cada uno de estos productos, junto con las actividades y los recursos específicos por los que cada país/asociado en la ejecución es responsable, se debe configurar en proyectos subsidiarios «relacionados» en los países participantes.</w:t>
      </w:r>
    </w:p>
    <w:p w14:paraId="02158E8C" w14:textId="778A2058" w:rsidR="000D7141" w:rsidRPr="00A72978" w:rsidRDefault="000D7141" w:rsidP="000D7141">
      <w:pPr>
        <w:pStyle w:val="ListParagraph"/>
        <w:numPr>
          <w:ilvl w:val="0"/>
          <w:numId w:val="1"/>
        </w:numPr>
        <w:spacing w:after="120" w:line="240" w:lineRule="auto"/>
        <w:ind w:left="360"/>
        <w:contextualSpacing w:val="0"/>
        <w:jc w:val="both"/>
        <w:rPr>
          <w:rFonts w:cstheme="minorHAnsi"/>
          <w:bCs/>
        </w:rPr>
      </w:pPr>
      <w:r>
        <w:t>Las oficinas en el país del PNUD en cada país participante son responsables por los fondos gastados allí. Se audita a cada asociado en la ejecución de acuerdo con las normas y los procedimientos establecidos en su país. La cooperación Sur-Sur y los proyectos multinacionales tienen la obligación de cumplir con las normas de calidad para la programación del PNUD</w:t>
      </w:r>
      <w:r w:rsidR="00BE5F9A">
        <w:t xml:space="preserve"> </w:t>
      </w:r>
      <w:r w:rsidR="00BE5F9A" w:rsidRPr="00BE5F9A">
        <w:t xml:space="preserve">y puede beneficiarse de la orientación de las </w:t>
      </w:r>
      <w:hyperlink r:id="rId12" w:history="1">
        <w:r w:rsidR="003460F4">
          <w:rPr>
            <w:rStyle w:val="Hyperlink"/>
          </w:rPr>
          <w:t>Consideraciones para el diseño, la ejecución</w:t>
        </w:r>
        <w:r w:rsidR="003460F4">
          <w:rPr>
            <w:rStyle w:val="Hyperlink"/>
          </w:rPr>
          <w:t xml:space="preserve"> </w:t>
        </w:r>
        <w:r w:rsidR="003460F4">
          <w:rPr>
            <w:rStyle w:val="Hyperlink"/>
          </w:rPr>
          <w:t>y la documentación de la cooperación técnica Sur-Sur</w:t>
        </w:r>
      </w:hyperlink>
      <w:r w:rsidR="009E5305">
        <w:t xml:space="preserve"> </w:t>
      </w:r>
      <w:r w:rsidR="00BE5F9A" w:rsidRPr="00BE5F9A">
        <w:t>del PNUD.</w:t>
      </w:r>
    </w:p>
    <w:p w14:paraId="100A2FF5" w14:textId="77777777" w:rsidR="000D7141" w:rsidRPr="00A72978" w:rsidRDefault="000D7141" w:rsidP="000D7141">
      <w:pPr>
        <w:pStyle w:val="ListParagraph"/>
        <w:numPr>
          <w:ilvl w:val="0"/>
          <w:numId w:val="1"/>
        </w:numPr>
        <w:spacing w:after="120" w:line="240" w:lineRule="auto"/>
        <w:ind w:left="360"/>
        <w:contextualSpacing w:val="0"/>
        <w:jc w:val="both"/>
        <w:rPr>
          <w:rFonts w:cstheme="minorHAnsi"/>
        </w:rPr>
      </w:pPr>
      <w:r>
        <w:t xml:space="preserve">Se designa una oficina del PNUD como la «oficina coordinadora», con las responsabilidades de diseñar y evaluar el documento del proyecto Sur-Sur/multinacional, consolidar el seguimiento y presentar informes individuales del país, facilitar las actividades conjuntas y convenir los acuerdos de gestión conjuntos a través de mecanismos de gestión de la cartera. Los costos asociados con desempeñar la función de coordinación se deben cobrar como costos directos del proyecto a través del presupuesto del proyecto. </w:t>
      </w:r>
    </w:p>
    <w:p w14:paraId="71DE8C17" w14:textId="77777777" w:rsidR="000D7141" w:rsidRPr="00A72978" w:rsidRDefault="000D7141" w:rsidP="000D7141">
      <w:pPr>
        <w:pStyle w:val="ListParagraph"/>
        <w:numPr>
          <w:ilvl w:val="0"/>
          <w:numId w:val="1"/>
        </w:numPr>
        <w:spacing w:after="120" w:line="240" w:lineRule="auto"/>
        <w:ind w:left="360"/>
        <w:contextualSpacing w:val="0"/>
        <w:jc w:val="both"/>
        <w:rPr>
          <w:rFonts w:cstheme="minorHAnsi"/>
        </w:rPr>
      </w:pPr>
      <w:r>
        <w:t xml:space="preserve">Los acuerdos de asociación con contribuidores de financiación deben especificar el monto de la contribución que se proporcionará a cada asociado en la ejecución. Los costos de apoyo general a la gestión (GMS por sus siglas en inglés) para cada oficina en el país se derivarán de los montos especificados en el acuerdo provisto a cada asociado en la ejecución. </w:t>
      </w:r>
    </w:p>
    <w:p w14:paraId="01B14725" w14:textId="77777777" w:rsidR="000D7141" w:rsidRPr="00A72978" w:rsidRDefault="000D7141" w:rsidP="000D7141">
      <w:pPr>
        <w:pStyle w:val="ListParagraph"/>
        <w:numPr>
          <w:ilvl w:val="0"/>
          <w:numId w:val="1"/>
        </w:numPr>
        <w:spacing w:after="240" w:line="240" w:lineRule="auto"/>
        <w:ind w:left="360"/>
        <w:contextualSpacing w:val="0"/>
        <w:jc w:val="both"/>
        <w:rPr>
          <w:rFonts w:cstheme="minorHAnsi"/>
        </w:rPr>
      </w:pPr>
      <w:r>
        <w:t>Los países en que se ejecuta un programa pueden aplicar tarifas de GMS preferenciales existentes cuando contribuyan a resultados en otros países en que se ejecuta un programa.</w:t>
      </w:r>
    </w:p>
    <w:p w14:paraId="13F96431" w14:textId="77777777" w:rsidR="0057407C" w:rsidRPr="0057407C" w:rsidRDefault="0057407C" w:rsidP="0057407C">
      <w:pPr>
        <w:pStyle w:val="NormalWeb"/>
        <w:shd w:val="clear" w:color="auto" w:fill="FFFFFF"/>
        <w:spacing w:before="0" w:beforeAutospacing="0" w:after="0" w:afterAutospacing="0"/>
        <w:rPr>
          <w:rFonts w:ascii="Calibri" w:hAnsi="Calibri"/>
          <w:color w:val="333333"/>
          <w:sz w:val="22"/>
          <w:szCs w:val="22"/>
        </w:rPr>
      </w:pPr>
      <w:r w:rsidRPr="007375B3">
        <w:rPr>
          <w:rFonts w:ascii="Calibri" w:hAnsi="Calibri"/>
          <w:b/>
          <w:bCs/>
          <w:i/>
          <w:iCs/>
          <w:color w:val="333333"/>
          <w:sz w:val="22"/>
          <w:szCs w:val="22"/>
        </w:rPr>
        <w:t>Disclaimer:</w:t>
      </w:r>
      <w:r w:rsidRPr="0057407C">
        <w:rPr>
          <w:rFonts w:ascii="Calibri" w:hAnsi="Calibri"/>
          <w:i/>
          <w:iCs/>
          <w:color w:val="333333"/>
          <w:sz w:val="22"/>
          <w:szCs w:val="22"/>
        </w:rPr>
        <w:t xml:space="preserve"> This document was translated from English into Spanish. In the event of any discrepancy between this translation and the original English document, the original English document shall prevail.</w:t>
      </w:r>
    </w:p>
    <w:p w14:paraId="61855981" w14:textId="77777777" w:rsidR="0057407C" w:rsidRPr="0057407C" w:rsidRDefault="0057407C" w:rsidP="0057407C">
      <w:pPr>
        <w:pStyle w:val="NormalWeb"/>
        <w:shd w:val="clear" w:color="auto" w:fill="FFFFFF"/>
        <w:spacing w:before="0" w:beforeAutospacing="0" w:after="0" w:afterAutospacing="0"/>
        <w:ind w:left="720"/>
        <w:rPr>
          <w:rFonts w:ascii="Calibri" w:hAnsi="Calibri"/>
          <w:color w:val="333333"/>
          <w:sz w:val="22"/>
          <w:szCs w:val="22"/>
        </w:rPr>
      </w:pPr>
      <w:r w:rsidRPr="0057407C">
        <w:rPr>
          <w:rFonts w:ascii="Calibri" w:hAnsi="Calibri"/>
          <w:i/>
          <w:iCs/>
          <w:color w:val="333333"/>
          <w:sz w:val="22"/>
          <w:szCs w:val="22"/>
        </w:rPr>
        <w:t> </w:t>
      </w:r>
    </w:p>
    <w:p w14:paraId="097FEEE7" w14:textId="15DACEF1" w:rsidR="007375B3" w:rsidRPr="00E8723A" w:rsidRDefault="0057407C" w:rsidP="0057407C">
      <w:pPr>
        <w:pStyle w:val="NormalWeb"/>
        <w:shd w:val="clear" w:color="auto" w:fill="FFFFFF"/>
        <w:spacing w:before="0" w:beforeAutospacing="0" w:after="0" w:afterAutospacing="0"/>
        <w:rPr>
          <w:i/>
          <w:lang w:val="es-ES_tradnl"/>
        </w:rPr>
      </w:pPr>
      <w:r w:rsidRPr="007375B3">
        <w:rPr>
          <w:rFonts w:ascii="Calibri" w:hAnsi="Calibri"/>
          <w:b/>
          <w:bCs/>
          <w:i/>
          <w:iCs/>
          <w:color w:val="333333"/>
          <w:sz w:val="22"/>
          <w:szCs w:val="22"/>
          <w:shd w:val="clear" w:color="auto" w:fill="FFFFFF"/>
          <w:lang w:val="es-ES_tradnl"/>
        </w:rPr>
        <w:t>Descargo de responsabilidad:</w:t>
      </w:r>
      <w:r w:rsidRPr="0057407C">
        <w:rPr>
          <w:rFonts w:ascii="Calibri" w:hAnsi="Calibri"/>
          <w:i/>
          <w:iCs/>
          <w:color w:val="333333"/>
          <w:sz w:val="22"/>
          <w:szCs w:val="22"/>
          <w:shd w:val="clear" w:color="auto" w:fill="FFFFFF"/>
          <w:lang w:val="es-ES_tradnl"/>
        </w:rPr>
        <w:t xml:space="preserve"> esta es una traducción de un documento original en </w:t>
      </w:r>
      <w:r w:rsidR="007375B3" w:rsidRPr="0057407C">
        <w:rPr>
          <w:rFonts w:ascii="Calibri" w:hAnsi="Calibri"/>
          <w:i/>
          <w:iCs/>
          <w:color w:val="333333"/>
          <w:sz w:val="22"/>
          <w:szCs w:val="22"/>
          <w:shd w:val="clear" w:color="auto" w:fill="FFFFFF"/>
          <w:lang w:val="es-ES_tradnl"/>
        </w:rPr>
        <w:t>inglés</w:t>
      </w:r>
      <w:r w:rsidRPr="0057407C">
        <w:rPr>
          <w:rFonts w:ascii="Calibri" w:hAnsi="Calibri"/>
          <w:i/>
          <w:iCs/>
          <w:color w:val="333333"/>
          <w:sz w:val="22"/>
          <w:szCs w:val="22"/>
          <w:shd w:val="clear" w:color="auto" w:fill="FFFFFF"/>
          <w:lang w:val="es-ES_tradnl"/>
        </w:rPr>
        <w:t>. </w:t>
      </w:r>
      <w:r w:rsidRPr="0057407C">
        <w:rPr>
          <w:rFonts w:ascii="Calibri" w:hAnsi="Calibri"/>
          <w:i/>
          <w:iCs/>
          <w:color w:val="333333"/>
          <w:sz w:val="22"/>
          <w:szCs w:val="22"/>
          <w:shd w:val="clear" w:color="auto" w:fill="FFFFFF"/>
          <w:lang w:val="es-UY"/>
        </w:rPr>
        <w:t>En caso de discrepancias entre esta traducción y el documento original en inglés, prevalecerá el documento original en inglés</w:t>
      </w:r>
    </w:p>
    <w:sectPr w:rsidR="007375B3" w:rsidRPr="00E8723A" w:rsidSect="0057407C">
      <w:headerReference w:type="even" r:id="rId13"/>
      <w:headerReference w:type="default" r:id="rId14"/>
      <w:footerReference w:type="even" r:id="rId15"/>
      <w:footerReference w:type="default" r:id="rId16"/>
      <w:headerReference w:type="first" r:id="rId17"/>
      <w:footerReference w:type="first" r:id="rId18"/>
      <w:pgSz w:w="11906" w:h="16838"/>
      <w:pgMar w:top="117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79A5" w14:textId="77777777" w:rsidR="001B3D0F" w:rsidRDefault="001B3D0F" w:rsidP="000D7141">
      <w:pPr>
        <w:spacing w:after="0" w:line="240" w:lineRule="auto"/>
      </w:pPr>
      <w:r>
        <w:separator/>
      </w:r>
    </w:p>
  </w:endnote>
  <w:endnote w:type="continuationSeparator" w:id="0">
    <w:p w14:paraId="325509FB" w14:textId="77777777" w:rsidR="001B3D0F" w:rsidRDefault="001B3D0F" w:rsidP="000D7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5698" w14:textId="77777777" w:rsidR="00E63750" w:rsidRDefault="00E63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BBFE" w14:textId="3F266FC7" w:rsidR="00662119" w:rsidRPr="00E63750" w:rsidRDefault="00E63750">
    <w:pPr>
      <w:pStyle w:val="Footer"/>
      <w:rPr>
        <w:lang w:val="en-GB"/>
      </w:rPr>
    </w:pPr>
    <w:r w:rsidRPr="00E63750">
      <w:rPr>
        <w:lang w:val="en-GB"/>
      </w:rPr>
      <w:t xml:space="preserve">Page </w:t>
    </w:r>
    <w:r w:rsidRPr="00E63750">
      <w:rPr>
        <w:b/>
        <w:bCs/>
      </w:rPr>
      <w:fldChar w:fldCharType="begin"/>
    </w:r>
    <w:r w:rsidRPr="00E63750">
      <w:rPr>
        <w:b/>
        <w:bCs/>
        <w:lang w:val="en-GB"/>
      </w:rPr>
      <w:instrText xml:space="preserve"> PAGE  \* Arabic  \* MERGEFORMAT </w:instrText>
    </w:r>
    <w:r w:rsidRPr="00E63750">
      <w:rPr>
        <w:b/>
        <w:bCs/>
      </w:rPr>
      <w:fldChar w:fldCharType="separate"/>
    </w:r>
    <w:r w:rsidRPr="00E63750">
      <w:rPr>
        <w:b/>
        <w:bCs/>
        <w:noProof/>
        <w:lang w:val="en-GB"/>
      </w:rPr>
      <w:t>1</w:t>
    </w:r>
    <w:r w:rsidRPr="00E63750">
      <w:rPr>
        <w:b/>
        <w:bCs/>
      </w:rPr>
      <w:fldChar w:fldCharType="end"/>
    </w:r>
    <w:r w:rsidRPr="00E63750">
      <w:rPr>
        <w:lang w:val="en-GB"/>
      </w:rPr>
      <w:t xml:space="preserve"> of </w:t>
    </w:r>
    <w:r w:rsidRPr="00E63750">
      <w:rPr>
        <w:b/>
        <w:bCs/>
      </w:rPr>
      <w:fldChar w:fldCharType="begin"/>
    </w:r>
    <w:r w:rsidRPr="00E63750">
      <w:rPr>
        <w:b/>
        <w:bCs/>
        <w:lang w:val="en-GB"/>
      </w:rPr>
      <w:instrText xml:space="preserve"> NUMPAGES  \* Arabic  \* MERGEFORMAT </w:instrText>
    </w:r>
    <w:r w:rsidRPr="00E63750">
      <w:rPr>
        <w:b/>
        <w:bCs/>
      </w:rPr>
      <w:fldChar w:fldCharType="separate"/>
    </w:r>
    <w:r w:rsidRPr="00E63750">
      <w:rPr>
        <w:b/>
        <w:bCs/>
        <w:noProof/>
        <w:lang w:val="en-GB"/>
      </w:rPr>
      <w:t>2</w:t>
    </w:r>
    <w:r w:rsidRPr="00E63750">
      <w:rPr>
        <w:b/>
        <w:bCs/>
      </w:rPr>
      <w:fldChar w:fldCharType="end"/>
    </w:r>
    <w:r w:rsidRPr="00E63750">
      <w:ptab w:relativeTo="margin" w:alignment="center" w:leader="none"/>
    </w:r>
    <w:r>
      <w:t>05/06/2018</w:t>
    </w:r>
    <w:r w:rsidRPr="00E63750">
      <w:ptab w:relativeTo="margin" w:alignment="right" w:leader="none"/>
    </w:r>
    <w:r>
      <w:t>v.3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A111" w14:textId="77777777" w:rsidR="00E63750" w:rsidRDefault="00E63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182A2" w14:textId="77777777" w:rsidR="001B3D0F" w:rsidRDefault="001B3D0F" w:rsidP="000D7141">
      <w:pPr>
        <w:spacing w:after="0" w:line="240" w:lineRule="auto"/>
      </w:pPr>
      <w:r>
        <w:separator/>
      </w:r>
    </w:p>
  </w:footnote>
  <w:footnote w:type="continuationSeparator" w:id="0">
    <w:p w14:paraId="209293CE" w14:textId="77777777" w:rsidR="001B3D0F" w:rsidRDefault="001B3D0F" w:rsidP="000D7141">
      <w:pPr>
        <w:spacing w:after="0" w:line="240" w:lineRule="auto"/>
      </w:pPr>
      <w:r>
        <w:continuationSeparator/>
      </w:r>
    </w:p>
  </w:footnote>
  <w:footnote w:id="1">
    <w:p w14:paraId="792870D9" w14:textId="65439531" w:rsidR="000D7141" w:rsidRDefault="000D7141" w:rsidP="000D7141">
      <w:pPr>
        <w:pStyle w:val="FootnoteText"/>
      </w:pPr>
      <w:r>
        <w:rPr>
          <w:rStyle w:val="FootnoteReference"/>
        </w:rPr>
        <w:footnoteRef/>
      </w:r>
      <w:r>
        <w:t xml:space="preserve"> Véanse los procedimientos para vincular proyectos relacionados en </w:t>
      </w:r>
      <w:r w:rsidR="002C1188">
        <w:t>Quantum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5FA6" w14:textId="77777777" w:rsidR="00E63750" w:rsidRDefault="00E63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E0897" w14:textId="604A4C6D" w:rsidR="009627AC" w:rsidRDefault="002C1188" w:rsidP="009627AC">
    <w:pPr>
      <w:pStyle w:val="Header"/>
      <w:jc w:val="right"/>
    </w:pPr>
    <w:r w:rsidRPr="002C1188">
      <w:rPr>
        <w:rFonts w:ascii="Calibri" w:eastAsia="Calibri" w:hAnsi="Calibri" w:cs="Times New Roman"/>
        <w:noProof/>
        <w:lang w:val="fr-FR"/>
      </w:rPr>
      <w:drawing>
        <wp:inline distT="0" distB="0" distL="0" distR="0" wp14:anchorId="1D62EA9C" wp14:editId="76CF238F">
          <wp:extent cx="298580" cy="578498"/>
          <wp:effectExtent l="0" t="0" r="6350" b="0"/>
          <wp:docPr id="1268790644" name="Picture 1268790644"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square with white text&#10;&#10;Description automatically generated"/>
                  <pic:cNvPicPr/>
                </pic:nvPicPr>
                <pic:blipFill rotWithShape="1">
                  <a:blip r:embed="rId1">
                    <a:extLst>
                      <a:ext uri="{28A0092B-C50C-407E-A947-70E740481C1C}">
                        <a14:useLocalDpi xmlns:a14="http://schemas.microsoft.com/office/drawing/2010/main" val="0"/>
                      </a:ext>
                    </a:extLst>
                  </a:blip>
                  <a:srcRect l="1" r="2023" b="17704"/>
                  <a:stretch/>
                </pic:blipFill>
                <pic:spPr bwMode="auto">
                  <a:xfrm>
                    <a:off x="0" y="0"/>
                    <a:ext cx="303059" cy="587177"/>
                  </a:xfrm>
                  <a:prstGeom prst="rect">
                    <a:avLst/>
                  </a:prstGeom>
                  <a:ln>
                    <a:noFill/>
                  </a:ln>
                  <a:extLst>
                    <a:ext uri="{53640926-AAD7-44D8-BBD7-CCE9431645EC}">
                      <a14:shadowObscured xmlns:a14="http://schemas.microsoft.com/office/drawing/2010/main"/>
                    </a:ext>
                  </a:extLst>
                </pic:spPr>
              </pic:pic>
            </a:graphicData>
          </a:graphic>
        </wp:inline>
      </w:drawing>
    </w:r>
  </w:p>
  <w:p w14:paraId="42D69063" w14:textId="77777777" w:rsidR="009627AC" w:rsidRDefault="00962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09D5" w14:textId="77777777" w:rsidR="00E63750" w:rsidRDefault="00E63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744B2"/>
    <w:multiLevelType w:val="hybridMultilevel"/>
    <w:tmpl w:val="D9A8B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647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141"/>
    <w:rsid w:val="000D7141"/>
    <w:rsid w:val="001B3D0F"/>
    <w:rsid w:val="002C1188"/>
    <w:rsid w:val="003460F4"/>
    <w:rsid w:val="00534328"/>
    <w:rsid w:val="0057407C"/>
    <w:rsid w:val="006144C1"/>
    <w:rsid w:val="00662119"/>
    <w:rsid w:val="007375B3"/>
    <w:rsid w:val="007D7666"/>
    <w:rsid w:val="00821E6B"/>
    <w:rsid w:val="008A03FF"/>
    <w:rsid w:val="009627AC"/>
    <w:rsid w:val="009E5305"/>
    <w:rsid w:val="00B30659"/>
    <w:rsid w:val="00BE5F9A"/>
    <w:rsid w:val="00C23EBF"/>
    <w:rsid w:val="00E63750"/>
    <w:rsid w:val="00E8723A"/>
    <w:rsid w:val="00F44B60"/>
    <w:rsid w:val="00F64E2E"/>
    <w:rsid w:val="00FB7AA2"/>
    <w:rsid w:val="00FD4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E3686"/>
  <w15:chartTrackingRefBased/>
  <w15:docId w15:val="{C8B8D6EB-29E5-4C2C-AB62-8D71A3F8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41"/>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0D7141"/>
    <w:pPr>
      <w:ind w:left="720"/>
      <w:contextualSpacing/>
    </w:pPr>
  </w:style>
  <w:style w:type="paragraph" w:styleId="FootnoteText">
    <w:name w:val="footnote text"/>
    <w:basedOn w:val="Normal"/>
    <w:link w:val="FootnoteTextChar"/>
    <w:uiPriority w:val="99"/>
    <w:semiHidden/>
    <w:unhideWhenUsed/>
    <w:rsid w:val="000D7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7141"/>
    <w:rPr>
      <w:sz w:val="20"/>
      <w:szCs w:val="20"/>
      <w:lang w:val="es-ES"/>
    </w:rPr>
  </w:style>
  <w:style w:type="character" w:styleId="FootnoteReference">
    <w:name w:val="footnote reference"/>
    <w:basedOn w:val="DefaultParagraphFont"/>
    <w:uiPriority w:val="99"/>
    <w:semiHidden/>
    <w:unhideWhenUsed/>
    <w:rsid w:val="000D7141"/>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0D7141"/>
    <w:rPr>
      <w:lang w:val="es-ES"/>
    </w:rPr>
  </w:style>
  <w:style w:type="paragraph" w:styleId="Header">
    <w:name w:val="header"/>
    <w:basedOn w:val="Normal"/>
    <w:link w:val="HeaderChar"/>
    <w:uiPriority w:val="99"/>
    <w:unhideWhenUsed/>
    <w:rsid w:val="009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7AC"/>
    <w:rPr>
      <w:lang w:val="es-ES"/>
    </w:rPr>
  </w:style>
  <w:style w:type="paragraph" w:styleId="Footer">
    <w:name w:val="footer"/>
    <w:basedOn w:val="Normal"/>
    <w:link w:val="FooterChar"/>
    <w:uiPriority w:val="99"/>
    <w:unhideWhenUsed/>
    <w:rsid w:val="009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7AC"/>
    <w:rPr>
      <w:lang w:val="es-ES"/>
    </w:rPr>
  </w:style>
  <w:style w:type="character" w:styleId="Hyperlink">
    <w:name w:val="Hyperlink"/>
    <w:basedOn w:val="DefaultParagraphFont"/>
    <w:uiPriority w:val="99"/>
    <w:unhideWhenUsed/>
    <w:rsid w:val="009E5305"/>
    <w:rPr>
      <w:color w:val="0563C1" w:themeColor="hyperlink"/>
      <w:u w:val="single"/>
    </w:rPr>
  </w:style>
  <w:style w:type="character" w:styleId="UnresolvedMention">
    <w:name w:val="Unresolved Mention"/>
    <w:basedOn w:val="DefaultParagraphFont"/>
    <w:uiPriority w:val="99"/>
    <w:semiHidden/>
    <w:unhideWhenUsed/>
    <w:rsid w:val="009E5305"/>
    <w:rPr>
      <w:color w:val="605E5C"/>
      <w:shd w:val="clear" w:color="auto" w:fill="E1DFDD"/>
    </w:rPr>
  </w:style>
  <w:style w:type="character" w:styleId="FollowedHyperlink">
    <w:name w:val="FollowedHyperlink"/>
    <w:basedOn w:val="DefaultParagraphFont"/>
    <w:uiPriority w:val="99"/>
    <w:semiHidden/>
    <w:unhideWhenUsed/>
    <w:rsid w:val="009E5305"/>
    <w:rPr>
      <w:color w:val="954F72" w:themeColor="followedHyperlink"/>
      <w:u w:val="single"/>
    </w:rPr>
  </w:style>
  <w:style w:type="paragraph" w:styleId="NormalWeb">
    <w:name w:val="Normal (Web)"/>
    <w:basedOn w:val="Normal"/>
    <w:uiPriority w:val="99"/>
    <w:unhideWhenUsed/>
    <w:rsid w:val="0057407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2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es/node/2079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POPP-11-2947</_dlc_DocId>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Value xmlns="e560140e-7b2f-4392-90df-e7567e3021a3">Effective Date: {Effective Date}                                                Version #: 2.0</DLCPolicyLabelValue>
    <UNDP_POPP_REFITEM_VERSION xmlns="8264c5cc-ec60-4b56-8111-ce635d3d139a">2</UNDP_POPP_REFITEM_VERSION>
    <DLCPolicyLabelClientValue xmlns="e560140e-7b2f-4392-90df-e7567e3021a3">Effective Date: {Effective Date}                                                Version #: 2.0</DLCPolicyLabelClientValue>
    <UNDP_POPP_TITLE_EN xmlns="8264c5cc-ec60-4b56-8111-ce635d3d139a">Proyectos de cooperación multinacional y Sur-Sur</UNDP_POPP_TITLE_EN>
    <UNDP_POPP_ISACTIVE xmlns="8264c5cc-ec60-4b56-8111-ce635d3d139a">true</UNDP_POPP_ISACTIVE>
    <UNDP_POPP_FILEVERSION xmlns="8264c5cc-ec60-4b56-8111-ce635d3d139a">1024</UNDP_POPP_FILEVERSION>
    <_dlc_DocIdUrl xmlns="8264c5cc-ec60-4b56-8111-ce635d3d139a">
      <Url>https://popp.undp.org/_layouts/15/DocIdRedir.aspx?ID=POPP-11-2947</Url>
      <Description>POPP-11-2947</Description>
    </_dlc_DocIdUrl>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5B89E-EE5A-4572-8D60-4EF8FAC7AF9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66000699-0CA0-4590-AAF6-496598275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A4804-59D8-4DC3-9B2E-04C42913FE68}">
  <ds:schemaRefs>
    <ds:schemaRef ds:uri="http://schemas.microsoft.com/sharepoint/events"/>
  </ds:schemaRefs>
</ds:datastoreItem>
</file>

<file path=customXml/itemProps4.xml><?xml version="1.0" encoding="utf-8"?>
<ds:datastoreItem xmlns:ds="http://schemas.openxmlformats.org/officeDocument/2006/customXml" ds:itemID="{3C871064-0D7A-4D7B-B5DA-421EADFACC9E}">
  <ds:schemaRefs>
    <ds:schemaRef ds:uri="office.server.policy"/>
  </ds:schemaRefs>
</ds:datastoreItem>
</file>

<file path=customXml/itemProps5.xml><?xml version="1.0" encoding="utf-8"?>
<ds:datastoreItem xmlns:ds="http://schemas.openxmlformats.org/officeDocument/2006/customXml" ds:itemID="{FF2182E8-9493-4EE4-A894-4A34B91F2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Ashley Gagne</dc:creator>
  <cp:keywords/>
  <dc:description/>
  <cp:lastModifiedBy>Emiliana Zhivkova</cp:lastModifiedBy>
  <cp:revision>3</cp:revision>
  <dcterms:created xsi:type="dcterms:W3CDTF">2023-12-22T20:29:00Z</dcterms:created>
  <dcterms:modified xsi:type="dcterms:W3CDTF">2023-12-22T20:56:00Z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6de2aecb-c8a2-49a9-8a8d-5b32d4a7d182</vt:lpwstr>
  </property>
  <property fmtid="{D5CDD505-2E9C-101B-9397-08002B2CF9AE}" pid="5" name="UNDP_POPP_BUSINESSUNIT">
    <vt:lpwstr>669;#Programme and Project Management|1c019435-9793-447e-8959-0b32d23bf3d5</vt:lpwstr>
  </property>
</Properties>
</file>