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FD86" w14:textId="3002C34A" w:rsidR="006B23C7" w:rsidRDefault="006B23C7">
      <w:pPr>
        <w:pStyle w:val="BodyText"/>
        <w:spacing w:before="0"/>
        <w:jc w:val="left"/>
        <w:rPr>
          <w:rFonts w:ascii="Times New Roman"/>
          <w:sz w:val="20"/>
        </w:rPr>
      </w:pPr>
    </w:p>
    <w:p w14:paraId="0475E349" w14:textId="77777777" w:rsidR="006B23C7" w:rsidRDefault="006B23C7">
      <w:pPr>
        <w:pStyle w:val="BodyText"/>
        <w:spacing w:before="0"/>
        <w:jc w:val="left"/>
        <w:rPr>
          <w:rFonts w:ascii="Times New Roman"/>
          <w:sz w:val="20"/>
        </w:rPr>
      </w:pPr>
    </w:p>
    <w:p w14:paraId="399D26AF" w14:textId="77777777" w:rsidR="006B23C7" w:rsidRDefault="006B23C7">
      <w:pPr>
        <w:pStyle w:val="BodyText"/>
        <w:spacing w:before="0"/>
        <w:jc w:val="left"/>
        <w:rPr>
          <w:rFonts w:ascii="Times New Roman"/>
          <w:sz w:val="20"/>
        </w:rPr>
      </w:pPr>
    </w:p>
    <w:p w14:paraId="5CE1E622" w14:textId="6AB6AA06" w:rsidR="006B23C7" w:rsidRDefault="00822E54">
      <w:pPr>
        <w:pStyle w:val="BodyText"/>
        <w:spacing w:before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15728640" behindDoc="0" locked="0" layoutInCell="1" allowOverlap="1" wp14:anchorId="7CA5A54E" wp14:editId="5F01A3DF">
            <wp:simplePos x="0" y="0"/>
            <wp:positionH relativeFrom="column">
              <wp:posOffset>6572250</wp:posOffset>
            </wp:positionH>
            <wp:positionV relativeFrom="paragraph">
              <wp:posOffset>19050</wp:posOffset>
            </wp:positionV>
            <wp:extent cx="278828" cy="580973"/>
            <wp:effectExtent l="0" t="0" r="6985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28" cy="5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468908" w14:textId="77777777" w:rsidR="006B23C7" w:rsidRDefault="006B23C7">
      <w:pPr>
        <w:pStyle w:val="BodyText"/>
        <w:spacing w:before="0"/>
        <w:jc w:val="left"/>
        <w:rPr>
          <w:rFonts w:ascii="Times New Roman"/>
          <w:sz w:val="20"/>
        </w:rPr>
      </w:pPr>
    </w:p>
    <w:p w14:paraId="6A03DA36" w14:textId="77777777" w:rsidR="006B23C7" w:rsidRDefault="006B23C7">
      <w:pPr>
        <w:pStyle w:val="BodyText"/>
        <w:spacing w:before="0"/>
        <w:jc w:val="left"/>
        <w:rPr>
          <w:rFonts w:ascii="Times New Roman"/>
          <w:sz w:val="20"/>
        </w:rPr>
      </w:pPr>
    </w:p>
    <w:p w14:paraId="30D72F72" w14:textId="77777777" w:rsidR="006B23C7" w:rsidRDefault="006B23C7">
      <w:pPr>
        <w:pStyle w:val="BodyText"/>
        <w:spacing w:before="0"/>
        <w:jc w:val="left"/>
        <w:rPr>
          <w:rFonts w:ascii="Times New Roman"/>
          <w:sz w:val="20"/>
        </w:rPr>
      </w:pPr>
    </w:p>
    <w:p w14:paraId="4A43FC7C" w14:textId="77777777" w:rsidR="006B23C7" w:rsidRDefault="006B23C7">
      <w:pPr>
        <w:pStyle w:val="BodyText"/>
        <w:spacing w:before="0"/>
        <w:jc w:val="left"/>
        <w:rPr>
          <w:rFonts w:ascii="Times New Roman"/>
          <w:sz w:val="20"/>
        </w:rPr>
      </w:pPr>
    </w:p>
    <w:p w14:paraId="2D39F33F" w14:textId="77777777" w:rsidR="006B23C7" w:rsidRDefault="006B23C7">
      <w:pPr>
        <w:pStyle w:val="BodyText"/>
        <w:spacing w:before="9"/>
        <w:jc w:val="left"/>
        <w:rPr>
          <w:rFonts w:ascii="Times New Roman"/>
          <w:sz w:val="18"/>
        </w:rPr>
      </w:pPr>
    </w:p>
    <w:p w14:paraId="23357554" w14:textId="77777777" w:rsidR="006B23C7" w:rsidRDefault="00000000">
      <w:pPr>
        <w:pStyle w:val="Title"/>
      </w:pPr>
      <w:r>
        <w:t>Normas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calidad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programación</w:t>
      </w:r>
    </w:p>
    <w:p w14:paraId="54E2EF41" w14:textId="77777777" w:rsidR="006B23C7" w:rsidRDefault="00000000">
      <w:pPr>
        <w:pStyle w:val="ListParagraph"/>
        <w:numPr>
          <w:ilvl w:val="0"/>
          <w:numId w:val="1"/>
        </w:numPr>
        <w:tabs>
          <w:tab w:val="left" w:pos="1884"/>
          <w:tab w:val="left" w:pos="1886"/>
        </w:tabs>
        <w:spacing w:before="187"/>
        <w:ind w:right="1626"/>
      </w:pPr>
      <w:r>
        <w:t>Las normas de calidad de la programación refuerzan y permiten obtener resultados. Mejoran la eficacia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eficiencia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desarrollo.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PNUD para garantizar la calidad de la programación.</w:t>
      </w:r>
    </w:p>
    <w:p w14:paraId="2101855B" w14:textId="77777777" w:rsidR="006B23C7" w:rsidRDefault="00000000">
      <w:pPr>
        <w:pStyle w:val="ListParagraph"/>
        <w:numPr>
          <w:ilvl w:val="0"/>
          <w:numId w:val="1"/>
        </w:numPr>
        <w:tabs>
          <w:tab w:val="left" w:pos="1884"/>
          <w:tab w:val="left" w:pos="1886"/>
        </w:tabs>
        <w:ind w:right="1632"/>
      </w:pP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nacionales,</w:t>
      </w:r>
      <w:r>
        <w:rPr>
          <w:spacing w:val="-4"/>
        </w:rPr>
        <w:t xml:space="preserve"> </w:t>
      </w:r>
      <w:r>
        <w:t>regionales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mundiales</w:t>
      </w:r>
      <w:r>
        <w:rPr>
          <w:spacing w:val="-4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de calidad de la programación. Los gestores son responsables de su cumplimiento.</w:t>
      </w:r>
    </w:p>
    <w:p w14:paraId="5265A762" w14:textId="77777777" w:rsidR="006B23C7" w:rsidRDefault="00000000">
      <w:pPr>
        <w:pStyle w:val="ListParagraph"/>
        <w:numPr>
          <w:ilvl w:val="0"/>
          <w:numId w:val="1"/>
        </w:numPr>
        <w:tabs>
          <w:tab w:val="left" w:pos="1885"/>
        </w:tabs>
        <w:spacing w:before="121"/>
        <w:ind w:left="1885" w:right="0" w:hanging="359"/>
      </w:pPr>
      <w:r>
        <w:t>Las</w:t>
      </w:r>
      <w:r>
        <w:rPr>
          <w:spacing w:val="-6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calidad</w:t>
      </w:r>
      <w:r>
        <w:rPr>
          <w:spacing w:val="-6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2"/>
        </w:rPr>
        <w:t>siguientes:</w:t>
      </w:r>
    </w:p>
    <w:p w14:paraId="20D344B4" w14:textId="77777777" w:rsidR="006B23C7" w:rsidRDefault="00000000">
      <w:pPr>
        <w:pStyle w:val="Heading1"/>
        <w:spacing w:before="119"/>
      </w:pPr>
      <w:r>
        <w:rPr>
          <w:spacing w:val="-2"/>
        </w:rPr>
        <w:t>Estratégico</w:t>
      </w:r>
    </w:p>
    <w:p w14:paraId="63FF68A8" w14:textId="77777777" w:rsidR="006B23C7" w:rsidRDefault="00000000">
      <w:pPr>
        <w:pStyle w:val="BodyText"/>
        <w:ind w:left="1886" w:right="1975"/>
      </w:pPr>
      <w:r>
        <w:t>Las prioridades y los resultados de la programación contribuyen a los Objetivos de Desarrollo Sostenible (ODS), son coherentes con el Plan Estratégico del PNUD y se ajustan al Marco de Cooperación de las Naciones Unidas para el Desarrollo Sostenible ("Marco de Cooperación"). Los programas y proyectos se basan en un análisis claro respaldado por pruebas y teorías del cambio. Estas últimas justifican por qué el enfoque definido es el más adecuado y es muy probable que logre, o contribuya a lograr, los resultados de desarrollo deseados junto con las contribuciones de los socios. Se considera deliberadamente el papel del PNUD frente a los socios.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reevalúan</w:t>
      </w:r>
      <w:r>
        <w:rPr>
          <w:spacing w:val="-10"/>
        </w:rPr>
        <w:t xml:space="preserve"> </w:t>
      </w:r>
      <w:r>
        <w:t>periódicamente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nuevas</w:t>
      </w:r>
      <w:r>
        <w:rPr>
          <w:spacing w:val="-9"/>
        </w:rPr>
        <w:t xml:space="preserve"> </w:t>
      </w:r>
      <w:r>
        <w:t>oportunidades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cambios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contexto</w:t>
      </w:r>
      <w:r>
        <w:rPr>
          <w:spacing w:val="-8"/>
        </w:rPr>
        <w:t xml:space="preserve"> </w:t>
      </w:r>
      <w:r>
        <w:t>de desarrollo, y se realizan los ajustes pertinentes según proceda.</w:t>
      </w:r>
    </w:p>
    <w:p w14:paraId="585EE8DF" w14:textId="77777777" w:rsidR="006B23C7" w:rsidRDefault="00000000">
      <w:pPr>
        <w:pStyle w:val="Heading1"/>
      </w:pPr>
      <w:r>
        <w:rPr>
          <w:spacing w:val="-2"/>
        </w:rPr>
        <w:t>Correspondiente</w:t>
      </w:r>
    </w:p>
    <w:p w14:paraId="4C1885CF" w14:textId="77777777" w:rsidR="006B23C7" w:rsidRDefault="00000000">
      <w:pPr>
        <w:pStyle w:val="BodyText"/>
        <w:ind w:left="1886" w:right="1977"/>
      </w:pP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>objetivos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rPr>
          <w:spacing w:val="-2"/>
        </w:rPr>
        <w:t>resultados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programación</w:t>
      </w:r>
      <w:r>
        <w:rPr>
          <w:spacing w:val="-4"/>
        </w:rPr>
        <w:t xml:space="preserve"> </w:t>
      </w:r>
      <w:r>
        <w:rPr>
          <w:spacing w:val="-2"/>
        </w:rPr>
        <w:t>son coherentes con</w:t>
      </w:r>
      <w:r>
        <w:rPr>
          <w:spacing w:val="-4"/>
        </w:rPr>
        <w:t xml:space="preserve"> </w:t>
      </w:r>
      <w:r>
        <w:rPr>
          <w:spacing w:val="-2"/>
        </w:rPr>
        <w:t>las necesidades y</w:t>
      </w:r>
      <w:r>
        <w:rPr>
          <w:spacing w:val="-4"/>
        </w:rPr>
        <w:t xml:space="preserve"> </w:t>
      </w:r>
      <w:r>
        <w:rPr>
          <w:spacing w:val="-2"/>
        </w:rPr>
        <w:t xml:space="preserve">prioridades </w:t>
      </w:r>
      <w:r>
        <w:t>nacionales, así como con la información obtenida a través de la participación de los grupos excluidos y/o marginados, según proceda. Las estrategias de programación tienen en cuenta las interconexiones entre los retos del desarrollo y los resultados. Se integra un análisis de género para tener plenamente en cuenta las diferentes necesidades, funciones y acceso/control sobre los recursos de las mujeres y los hombres; se toman las medidas adecuadas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abordar</w:t>
      </w:r>
      <w:r>
        <w:rPr>
          <w:spacing w:val="-6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aspectos</w:t>
      </w:r>
      <w:r>
        <w:rPr>
          <w:spacing w:val="-5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procede.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programas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proyectos</w:t>
      </w:r>
      <w:r>
        <w:rPr>
          <w:spacing w:val="-6"/>
        </w:rPr>
        <w:t xml:space="preserve"> </w:t>
      </w:r>
      <w:r>
        <w:t>recopilan y</w:t>
      </w:r>
      <w:r>
        <w:rPr>
          <w:spacing w:val="-12"/>
        </w:rPr>
        <w:t xml:space="preserve"> </w:t>
      </w:r>
      <w:r>
        <w:t>revisan</w:t>
      </w:r>
      <w:r>
        <w:rPr>
          <w:spacing w:val="-12"/>
        </w:rPr>
        <w:t xml:space="preserve"> </w:t>
      </w:r>
      <w:r>
        <w:t>periódicamente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conocimientos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lecciones</w:t>
      </w:r>
      <w:r>
        <w:rPr>
          <w:spacing w:val="-12"/>
        </w:rPr>
        <w:t xml:space="preserve"> </w:t>
      </w:r>
      <w:r>
        <w:t>aprendidas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informar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diseño, adaptar y cambiar los planes y las acciones según proceda, y planificar la ampliación.</w:t>
      </w:r>
    </w:p>
    <w:p w14:paraId="63D22506" w14:textId="77777777" w:rsidR="006B23C7" w:rsidRDefault="00000000">
      <w:pPr>
        <w:pStyle w:val="Heading1"/>
      </w:pPr>
      <w:r>
        <w:rPr>
          <w:spacing w:val="-2"/>
        </w:rPr>
        <w:t>Principios</w:t>
      </w:r>
    </w:p>
    <w:p w14:paraId="0FE33452" w14:textId="77777777" w:rsidR="006B23C7" w:rsidRDefault="00000000">
      <w:pPr>
        <w:pStyle w:val="BodyText"/>
        <w:ind w:left="1886" w:right="1976"/>
      </w:pPr>
      <w:r>
        <w:t>Toda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programación</w:t>
      </w:r>
      <w:r>
        <w:rPr>
          <w:spacing w:val="-4"/>
        </w:rPr>
        <w:t xml:space="preserve"> </w:t>
      </w:r>
      <w:r>
        <w:t>aplica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principios</w:t>
      </w:r>
      <w:r>
        <w:rPr>
          <w:spacing w:val="-4"/>
        </w:rPr>
        <w:t xml:space="preserve"> </w:t>
      </w:r>
      <w:r>
        <w:t>fundamentales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dejar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nadie</w:t>
      </w:r>
      <w:r>
        <w:rPr>
          <w:spacing w:val="-3"/>
        </w:rPr>
        <w:t xml:space="preserve"> </w:t>
      </w:r>
      <w:r>
        <w:t>atrás,</w:t>
      </w:r>
      <w:r>
        <w:rPr>
          <w:spacing w:val="-4"/>
        </w:rPr>
        <w:t xml:space="preserve"> </w:t>
      </w:r>
      <w:r>
        <w:t>Derechos Humanos, Igualdad de Género y Empoderamiento de la Mujer, Sostenibilidad y Resiliencia y Rendición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Cuentas.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sostenibilidad</w:t>
      </w:r>
      <w:r>
        <w:rPr>
          <w:spacing w:val="-13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medioambiental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integran</w:t>
      </w:r>
      <w:r>
        <w:rPr>
          <w:spacing w:val="-13"/>
        </w:rPr>
        <w:t xml:space="preserve"> </w:t>
      </w:r>
      <w:r>
        <w:t>sistemáticamente. Siempre que es posible, se</w:t>
      </w:r>
      <w:r>
        <w:rPr>
          <w:spacing w:val="-1"/>
        </w:rPr>
        <w:t xml:space="preserve"> </w:t>
      </w:r>
      <w:r>
        <w:t>evitan</w:t>
      </w:r>
      <w:r>
        <w:rPr>
          <w:spacing w:val="-1"/>
        </w:rPr>
        <w:t xml:space="preserve"> </w:t>
      </w:r>
      <w:r>
        <w:t>los daños potenciales a las personas y al</w:t>
      </w:r>
      <w:r>
        <w:rPr>
          <w:spacing w:val="-1"/>
        </w:rPr>
        <w:t xml:space="preserve"> </w:t>
      </w:r>
      <w:r>
        <w:t>medio ambiente, y en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contrario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minimizan,</w:t>
      </w:r>
      <w:r>
        <w:rPr>
          <w:spacing w:val="-1"/>
        </w:rPr>
        <w:t xml:space="preserve"> </w:t>
      </w:r>
      <w:r>
        <w:t>mitigan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gestionan.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medioambientales completas pueden consultarse </w:t>
      </w:r>
      <w:hyperlink r:id="rId8">
        <w:r>
          <w:rPr>
            <w:color w:val="0562C1"/>
            <w:u w:val="single" w:color="0562C1"/>
          </w:rPr>
          <w:t>aquí</w:t>
        </w:r>
        <w:r>
          <w:t>.</w:t>
        </w:r>
      </w:hyperlink>
    </w:p>
    <w:p w14:paraId="1A5AD8CD" w14:textId="77777777" w:rsidR="006B23C7" w:rsidRDefault="00000000">
      <w:pPr>
        <w:pStyle w:val="Heading1"/>
        <w:jc w:val="both"/>
      </w:pPr>
      <w:r>
        <w:t>Gestión,</w:t>
      </w:r>
      <w:r>
        <w:rPr>
          <w:spacing w:val="-10"/>
        </w:rPr>
        <w:t xml:space="preserve"> </w:t>
      </w:r>
      <w:r>
        <w:t>seguimiento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evaluación</w:t>
      </w:r>
    </w:p>
    <w:p w14:paraId="2A3BEDFE" w14:textId="77777777" w:rsidR="006B23C7" w:rsidRDefault="00000000">
      <w:pPr>
        <w:pStyle w:val="BodyText"/>
        <w:ind w:left="1886" w:right="1977"/>
      </w:pPr>
      <w:r>
        <w:t>Los</w:t>
      </w:r>
      <w:r>
        <w:rPr>
          <w:spacing w:val="-8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productos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definen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nivel</w:t>
      </w:r>
      <w:r>
        <w:rPr>
          <w:spacing w:val="-9"/>
        </w:rPr>
        <w:t xml:space="preserve"> </w:t>
      </w:r>
      <w:r>
        <w:t>adecuado,</w:t>
      </w:r>
      <w:r>
        <w:rPr>
          <w:spacing w:val="-9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coherentes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teoría</w:t>
      </w:r>
      <w:r>
        <w:rPr>
          <w:spacing w:val="-9"/>
        </w:rPr>
        <w:t xml:space="preserve"> </w:t>
      </w:r>
      <w:r>
        <w:t>del cambio y tienen indicadores SMART orientados a los resultados, con bases de referencia y objetivos</w:t>
      </w:r>
      <w:r>
        <w:rPr>
          <w:spacing w:val="-10"/>
        </w:rPr>
        <w:t xml:space="preserve"> </w:t>
      </w:r>
      <w:r>
        <w:t>específicos,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fuentes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datos</w:t>
      </w:r>
      <w:r>
        <w:rPr>
          <w:spacing w:val="-10"/>
        </w:rPr>
        <w:t xml:space="preserve"> </w:t>
      </w:r>
      <w:r>
        <w:t>identificadas.</w:t>
      </w:r>
      <w:r>
        <w:rPr>
          <w:spacing w:val="-11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procede,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utilizan</w:t>
      </w:r>
      <w:r>
        <w:rPr>
          <w:spacing w:val="-11"/>
        </w:rPr>
        <w:t xml:space="preserve"> </w:t>
      </w:r>
      <w:r>
        <w:t>indicadores desglosados por sexo que tienen en cuenta las cuestiones de género. Los indicadores pertinentes del Marco Integrado de Resultados y Recursos (MIRR) del Plan Estratégico se han</w:t>
      </w:r>
    </w:p>
    <w:p w14:paraId="5825E19E" w14:textId="77777777" w:rsidR="006B23C7" w:rsidRDefault="006B23C7">
      <w:pPr>
        <w:sectPr w:rsidR="006B23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0" w:right="0" w:bottom="940" w:left="0" w:header="0" w:footer="744" w:gutter="0"/>
          <w:pgNumType w:start="1"/>
          <w:cols w:space="720"/>
        </w:sectPr>
      </w:pPr>
    </w:p>
    <w:p w14:paraId="404D5B04" w14:textId="77777777" w:rsidR="006B23C7" w:rsidRDefault="00000000">
      <w:pPr>
        <w:pStyle w:val="BodyText"/>
        <w:spacing w:before="15"/>
        <w:ind w:left="1886" w:right="1975"/>
      </w:pPr>
      <w:r>
        <w:lastRenderedPageBreak/>
        <w:t>adoptado en el marco de resultados del programa o proyecto. Existen y se aplican planes de seguimiento y evaluación completos y presupuestados para apoyar la gestión, el</w:t>
      </w:r>
      <w:r>
        <w:rPr>
          <w:spacing w:val="-1"/>
        </w:rPr>
        <w:t xml:space="preserve"> </w:t>
      </w:r>
      <w:r>
        <w:t>seguimiento y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basados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pruebas.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debería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estratégico,</w:t>
      </w:r>
      <w:r>
        <w:rPr>
          <w:spacing w:val="-6"/>
        </w:rPr>
        <w:t xml:space="preserve"> </w:t>
      </w:r>
      <w:r>
        <w:t>equilibrado, práctico (calendario/secuencia), rentable/con recursos, e incluir evaluaciones de diferentes tipos (proyecto, programa, efecto, etc.) que generen la información más crítica y útil para el PNUD y sus asociados en la programación futura, garanticen la rendición de cuentas y el aprendizaje de la ejecución. Se identifican los riesgos, tanto en términos de amenazas como de</w:t>
      </w:r>
      <w:r>
        <w:rPr>
          <w:spacing w:val="-8"/>
        </w:rPr>
        <w:t xml:space="preserve"> </w:t>
      </w:r>
      <w:r>
        <w:t>oportunidades,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adoptan</w:t>
      </w:r>
      <w:r>
        <w:rPr>
          <w:spacing w:val="-8"/>
        </w:rPr>
        <w:t xml:space="preserve"> </w:t>
      </w:r>
      <w:r>
        <w:t>planes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adecuadas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gestionarlos.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gobernanza de los programas y proyectos está definida con funciones y responsabilidades claras, y proporciona una supervisión activa y regular para informar la toma de decisiones.</w:t>
      </w:r>
    </w:p>
    <w:p w14:paraId="72A98284" w14:textId="77777777" w:rsidR="006B23C7" w:rsidRDefault="00000000">
      <w:pPr>
        <w:pStyle w:val="Heading1"/>
      </w:pPr>
      <w:r>
        <w:rPr>
          <w:spacing w:val="-2"/>
        </w:rPr>
        <w:t>Eficaz</w:t>
      </w:r>
    </w:p>
    <w:p w14:paraId="6C00E887" w14:textId="0F50F29A" w:rsidR="006B23C7" w:rsidRDefault="00000000">
      <w:pPr>
        <w:pStyle w:val="BodyText"/>
        <w:spacing w:before="121"/>
        <w:ind w:left="1886" w:right="1975"/>
      </w:pPr>
      <w:r>
        <w:t>Los presupuestos de programación son justificables y válidos, y el diseño y la ejecución de la programación incluyen medidas para garantizar un uso eficiente de los recursos. El tamaño y el alcance de los programas y proyectos son coherentes con los recursos disponibles y los esfuerzos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movilización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recursos.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incluyen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consideración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ampliación</w:t>
      </w:r>
      <w:r>
        <w:rPr>
          <w:spacing w:val="-2"/>
        </w:rPr>
        <w:t xml:space="preserve"> </w:t>
      </w:r>
      <w:r>
        <w:t>y los</w:t>
      </w:r>
      <w:r>
        <w:rPr>
          <w:spacing w:val="-6"/>
        </w:rPr>
        <w:t xml:space="preserve"> </w:t>
      </w:r>
      <w:r>
        <w:t>vínculos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iniciativas</w:t>
      </w:r>
      <w:r>
        <w:rPr>
          <w:spacing w:val="-6"/>
        </w:rPr>
        <w:t xml:space="preserve"> </w:t>
      </w:r>
      <w:r>
        <w:t>pertinentes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lograr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impacto.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planificación</w:t>
      </w:r>
      <w:r>
        <w:rPr>
          <w:spacing w:val="-5"/>
        </w:rPr>
        <w:t xml:space="preserve"> </w:t>
      </w:r>
      <w:r>
        <w:t>de las</w:t>
      </w:r>
      <w:r>
        <w:rPr>
          <w:spacing w:val="-5"/>
        </w:rPr>
        <w:t xml:space="preserve"> </w:t>
      </w:r>
      <w:r>
        <w:t>adquisiciones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fase</w:t>
      </w:r>
      <w:r>
        <w:rPr>
          <w:spacing w:val="-5"/>
        </w:rPr>
        <w:t xml:space="preserve"> </w:t>
      </w:r>
      <w:r>
        <w:t>temprana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revisa</w:t>
      </w:r>
      <w:r>
        <w:rPr>
          <w:spacing w:val="-5"/>
        </w:rPr>
        <w:t xml:space="preserve"> </w:t>
      </w:r>
      <w:r>
        <w:t>periódicamente.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seguimiento</w:t>
      </w:r>
      <w:r>
        <w:rPr>
          <w:spacing w:val="-3"/>
        </w:rPr>
        <w:t xml:space="preserve"> </w:t>
      </w:r>
      <w:r>
        <w:t xml:space="preserve">y la gestión incluyen el análisis y las acciones para mejorar la eficiencia en la entrega de los productos deseados con la calidad y puntualidad requeridas, como el apoyo de la oficina nacional a las modalidades nacionales de ejecución. Los costes se recuperan íntegramente (véase la </w:t>
      </w:r>
      <w:hyperlink r:id="rId15">
        <w:r>
          <w:rPr>
            <w:color w:val="0562C1"/>
            <w:u w:val="single" w:color="0562C1"/>
          </w:rPr>
          <w:t>Política de recuperación de costes</w:t>
        </w:r>
      </w:hyperlink>
      <w:r>
        <w:t>).</w:t>
      </w:r>
    </w:p>
    <w:p w14:paraId="79E57681" w14:textId="77777777" w:rsidR="006B23C7" w:rsidRDefault="00000000">
      <w:pPr>
        <w:pStyle w:val="Heading1"/>
      </w:pPr>
      <w:r>
        <w:rPr>
          <w:spacing w:val="-2"/>
        </w:rPr>
        <w:t>Eficaz</w:t>
      </w:r>
    </w:p>
    <w:p w14:paraId="73002F9E" w14:textId="77777777" w:rsidR="006B23C7" w:rsidRDefault="00000000">
      <w:pPr>
        <w:pStyle w:val="BodyText"/>
        <w:spacing w:before="119"/>
        <w:ind w:left="1886" w:right="1976"/>
      </w:pPr>
      <w:r>
        <w:t>El diseño y la ejecución de los programas se basan en los conocimientos pertinentes, la evaluación y las lecciones aprendidas para desarrollar estrategias y corregir el rumbo. Los grupos destinatarios se identifican e implican sistemáticamente, dando prioridad a los marginados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excluidos.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responden</w:t>
      </w:r>
      <w:r>
        <w:rPr>
          <w:spacing w:val="-3"/>
        </w:rPr>
        <w:t xml:space="preserve"> </w:t>
      </w:r>
      <w:r>
        <w:t>sistemáticamente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género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 clasifican con precisión según el marcador de género. Los gestores utilizan los datos de seguimiento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tomar</w:t>
      </w:r>
      <w:r>
        <w:rPr>
          <w:spacing w:val="-8"/>
        </w:rPr>
        <w:t xml:space="preserve"> </w:t>
      </w:r>
      <w:r>
        <w:t>decisiones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maximicen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consecución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deseados. La</w:t>
      </w:r>
      <w:r>
        <w:rPr>
          <w:spacing w:val="-8"/>
        </w:rPr>
        <w:t xml:space="preserve"> </w:t>
      </w:r>
      <w:r>
        <w:t>cooperación</w:t>
      </w:r>
      <w:r>
        <w:rPr>
          <w:spacing w:val="-8"/>
        </w:rPr>
        <w:t xml:space="preserve"> </w:t>
      </w:r>
      <w:r>
        <w:t>Sur-Sur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triangular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utiliza,</w:t>
      </w:r>
      <w:r>
        <w:rPr>
          <w:spacing w:val="-8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pertinente,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recoge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de resultados. Se han realizado las evaluaciones requeridas de los socios ejecutores, y la modalidad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ejecución</w:t>
      </w:r>
      <w:r>
        <w:rPr>
          <w:spacing w:val="-13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coherente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resultados.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programa</w:t>
      </w:r>
      <w:r>
        <w:rPr>
          <w:spacing w:val="-13"/>
        </w:rPr>
        <w:t xml:space="preserve"> </w:t>
      </w:r>
      <w:r>
        <w:t>evaluó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oportunidades y los riesgos relacionados con la digitalización, la transformación digital de la sociedad y los ecosistemas digitales inclusivos de forma integrada y estratégica.</w:t>
      </w:r>
    </w:p>
    <w:p w14:paraId="692FAADF" w14:textId="77777777" w:rsidR="006B23C7" w:rsidRDefault="00000000">
      <w:pPr>
        <w:pStyle w:val="Heading1"/>
        <w:jc w:val="both"/>
      </w:pPr>
      <w:r>
        <w:t>Sostenibilidad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propiedad</w:t>
      </w:r>
      <w:r>
        <w:rPr>
          <w:spacing w:val="-10"/>
        </w:rPr>
        <w:t xml:space="preserve"> </w:t>
      </w:r>
      <w:r>
        <w:rPr>
          <w:spacing w:val="-2"/>
        </w:rPr>
        <w:t>nacional</w:t>
      </w:r>
    </w:p>
    <w:p w14:paraId="64BB0B32" w14:textId="77777777" w:rsidR="006B23C7" w:rsidRDefault="00000000">
      <w:pPr>
        <w:pStyle w:val="BodyText"/>
        <w:ind w:left="1886" w:right="1976"/>
      </w:pPr>
      <w:r>
        <w:t>La programación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lleva a cabo en consulta con</w:t>
      </w:r>
      <w:r>
        <w:rPr>
          <w:spacing w:val="-1"/>
        </w:rPr>
        <w:t xml:space="preserve"> </w:t>
      </w:r>
      <w:r>
        <w:t>las partes interesadas y los socios nacionales pertinentes, que participan a lo largo de todo el ciclo de programación en la toma de decisiones, la ejecución y el seguimiento. La programación incluye la evaluación y el fortalecimiento de la capacidad y la sostenibilidad de las instituciones nacionales. Se define y aplica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estrategia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sistemas</w:t>
      </w:r>
      <w:r>
        <w:rPr>
          <w:spacing w:val="-6"/>
        </w:rPr>
        <w:t xml:space="preserve"> </w:t>
      </w:r>
      <w:r>
        <w:t>nacionales,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procede.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seguimiento</w:t>
      </w:r>
      <w:r>
        <w:rPr>
          <w:spacing w:val="-5"/>
        </w:rPr>
        <w:t xml:space="preserve"> </w:t>
      </w:r>
      <w:r>
        <w:t>incluye el uso de fuentes de datos nacionales pertinentes, siempre que sea posible. La sostenibilidad de los resultados se logra mediante el seguimiento de los indicadores de capacidad y la aplicación de planes de transición y ampliación.</w:t>
      </w:r>
    </w:p>
    <w:p w14:paraId="76A9635D" w14:textId="77777777" w:rsidR="006B23C7" w:rsidRDefault="00000000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 w:right="1438"/>
        <w:jc w:val="both"/>
      </w:pPr>
      <w:r>
        <w:t>Para garantizar el cumplimiento de estas normas de calidad, la programación apoyada por el PNUD se</w:t>
      </w:r>
      <w:r>
        <w:rPr>
          <w:spacing w:val="-11"/>
        </w:rPr>
        <w:t xml:space="preserve"> </w:t>
      </w:r>
      <w:r>
        <w:t>supervisa</w:t>
      </w:r>
      <w:r>
        <w:rPr>
          <w:spacing w:val="-11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evaluaciones</w:t>
      </w:r>
      <w:r>
        <w:rPr>
          <w:spacing w:val="-11"/>
        </w:rPr>
        <w:t xml:space="preserve"> </w:t>
      </w:r>
      <w:r>
        <w:t>objetivas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calidad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programas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proyectos.</w:t>
      </w:r>
    </w:p>
    <w:p w14:paraId="5B55DDB2" w14:textId="77777777" w:rsidR="006B23C7" w:rsidRDefault="006B23C7">
      <w:pPr>
        <w:jc w:val="both"/>
        <w:sectPr w:rsidR="006B23C7" w:rsidSect="00A245A2">
          <w:headerReference w:type="default" r:id="rId16"/>
          <w:footerReference w:type="default" r:id="rId17"/>
          <w:pgSz w:w="12240" w:h="15840"/>
          <w:pgMar w:top="1620" w:right="0" w:bottom="940" w:left="0" w:header="720" w:footer="744" w:gutter="0"/>
          <w:cols w:space="720"/>
          <w:docGrid w:linePitch="299"/>
        </w:sectPr>
      </w:pPr>
    </w:p>
    <w:p w14:paraId="0826D9B2" w14:textId="77777777" w:rsidR="006B23C7" w:rsidRDefault="00000000">
      <w:pPr>
        <w:pStyle w:val="BodyText"/>
        <w:spacing w:before="15"/>
        <w:ind w:left="1889" w:right="1437"/>
      </w:pPr>
      <w:r>
        <w:lastRenderedPageBreak/>
        <w:t>Junto con el seguimiento periódico de los programas y proyectos, las evaluaciones de garantía de calidad garantizan que en la fase de diseño, al menos cada dos años durante la ejecución y en el momento del cierre</w:t>
      </w:r>
      <w:r>
        <w:rPr>
          <w:spacing w:val="-1"/>
        </w:rPr>
        <w:t xml:space="preserve"> </w:t>
      </w:r>
      <w:r>
        <w:t>se preste</w:t>
      </w:r>
      <w:r>
        <w:rPr>
          <w:spacing w:val="-1"/>
        </w:rPr>
        <w:t xml:space="preserve"> </w:t>
      </w:r>
      <w:r>
        <w:t>una atención</w:t>
      </w:r>
      <w:r>
        <w:rPr>
          <w:spacing w:val="-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a las cuestiones clave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rendimiento esbozadas en siete criterios de calidad. Esto contribuye a mejorar la eficacia del desarrollo y a aumentar la responsabilidad por los resultados.</w:t>
      </w:r>
    </w:p>
    <w:p w14:paraId="557A47F2" w14:textId="77777777" w:rsidR="006B23C7" w:rsidRDefault="00000000">
      <w:pPr>
        <w:pStyle w:val="ListParagraph"/>
        <w:numPr>
          <w:ilvl w:val="0"/>
          <w:numId w:val="1"/>
        </w:numPr>
        <w:tabs>
          <w:tab w:val="left" w:pos="1887"/>
          <w:tab w:val="left" w:pos="1889"/>
        </w:tabs>
        <w:ind w:left="1889"/>
        <w:jc w:val="both"/>
      </w:pPr>
      <w:r>
        <w:t>La garantía de calidad es necesaria para todos los programas y proyectos de desarrollo del PNUD,</w:t>
      </w:r>
      <w:r>
        <w:rPr>
          <w:vertAlign w:val="superscript"/>
        </w:rPr>
        <w:t>1</w:t>
      </w:r>
      <w:r>
        <w:t xml:space="preserve"> independientemente de su presupuesto, tamaño, ubicación, duración, características, contexto o </w:t>
      </w:r>
      <w:r>
        <w:rPr>
          <w:spacing w:val="-2"/>
        </w:rPr>
        <w:t>circunstancias.</w:t>
      </w:r>
    </w:p>
    <w:p w14:paraId="4F26F74A" w14:textId="77777777" w:rsidR="006B23C7" w:rsidRDefault="00000000">
      <w:pPr>
        <w:pStyle w:val="ListParagraph"/>
        <w:numPr>
          <w:ilvl w:val="0"/>
          <w:numId w:val="1"/>
        </w:numPr>
        <w:tabs>
          <w:tab w:val="left" w:pos="1889"/>
        </w:tabs>
        <w:ind w:left="1889" w:hanging="360"/>
        <w:jc w:val="both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programas,</w:t>
      </w:r>
      <w:r>
        <w:rPr>
          <w:b/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diseño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evaluación,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Eficacia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BPPS</w:t>
      </w:r>
      <w:r>
        <w:rPr>
          <w:spacing w:val="-3"/>
        </w:rPr>
        <w:t xml:space="preserve"> </w:t>
      </w:r>
      <w:r>
        <w:t xml:space="preserve">es el </w:t>
      </w:r>
      <w:r>
        <w:rPr>
          <w:b/>
        </w:rPr>
        <w:t xml:space="preserve">evaluador de GC </w:t>
      </w:r>
      <w:r>
        <w:t>responsable de garantizar que el documento del programa nacional o regional cumple las normas de calidad corporativas antes de su presentación al Consejo Ejecutivo. El presidente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Comité</w:t>
      </w:r>
      <w:r>
        <w:rPr>
          <w:spacing w:val="-7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b/>
        </w:rPr>
        <w:t>encargado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aprobar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GC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 xml:space="preserve">los documentos de los programas </w:t>
      </w:r>
      <w:r>
        <w:t>nacionales.</w:t>
      </w:r>
    </w:p>
    <w:p w14:paraId="24E9ACB3" w14:textId="77777777" w:rsidR="006B23C7" w:rsidRDefault="00000000">
      <w:pPr>
        <w:pStyle w:val="ListParagraph"/>
        <w:numPr>
          <w:ilvl w:val="0"/>
          <w:numId w:val="1"/>
        </w:numPr>
        <w:tabs>
          <w:tab w:val="left" w:pos="1887"/>
          <w:tab w:val="left" w:pos="1889"/>
        </w:tabs>
        <w:ind w:left="1889" w:right="1439"/>
        <w:jc w:val="both"/>
      </w:pPr>
      <w:r>
        <w:t>Durante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evalúa</w:t>
      </w:r>
      <w:r>
        <w:rPr>
          <w:spacing w:val="-4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Orientado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Resultados.</w:t>
      </w:r>
    </w:p>
    <w:p w14:paraId="33930833" w14:textId="77777777" w:rsidR="006B23C7" w:rsidRDefault="00000000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 w:right="1438"/>
        <w:jc w:val="both"/>
      </w:pPr>
      <w:r>
        <w:t xml:space="preserve">Durante el cierre del programa, la calidad de los resultados alcanzados se evalúa a través de la evaluación independiente del programa de país (EIPC) a la Junta Ejecutiva del PNUD (véase el </w:t>
      </w:r>
      <w:hyperlink r:id="rId18">
        <w:r>
          <w:rPr>
            <w:color w:val="0562C1"/>
            <w:u w:val="single" w:color="0562C1"/>
          </w:rPr>
          <w:t>mandato de la OEI</w:t>
        </w:r>
      </w:hyperlink>
      <w:r>
        <w:t>).</w:t>
      </w:r>
    </w:p>
    <w:p w14:paraId="2AAE56B5" w14:textId="77777777" w:rsidR="006B23C7" w:rsidRDefault="00000000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 w:right="1435"/>
        <w:jc w:val="both"/>
      </w:pPr>
      <w:r>
        <w:t xml:space="preserve">En el caso de </w:t>
      </w:r>
      <w:r>
        <w:rPr>
          <w:b/>
        </w:rPr>
        <w:t>los proyectos</w:t>
      </w:r>
      <w:r>
        <w:t>, la responsabilidad de la realización de evaluaciones de garantía de calidad</w:t>
      </w:r>
      <w:r>
        <w:rPr>
          <w:spacing w:val="-1"/>
        </w:rPr>
        <w:t xml:space="preserve"> </w:t>
      </w:r>
      <w:r>
        <w:t>precisas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oportunas</w:t>
      </w:r>
      <w:r>
        <w:rPr>
          <w:spacing w:val="-2"/>
        </w:rPr>
        <w:t xml:space="preserve"> </w:t>
      </w:r>
      <w:r>
        <w:t>recae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miembro del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del PNUD</w:t>
      </w:r>
      <w:r>
        <w:rPr>
          <w:spacing w:val="-1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garantía del proyecto. Cada oficina debe designar al menos un </w:t>
      </w:r>
      <w:r>
        <w:rPr>
          <w:b/>
        </w:rPr>
        <w:t xml:space="preserve">aprobador de garantía de calidad </w:t>
      </w:r>
      <w:r>
        <w:t>que revise la</w:t>
      </w:r>
      <w:r>
        <w:rPr>
          <w:spacing w:val="-10"/>
        </w:rPr>
        <w:t xml:space="preserve"> </w:t>
      </w:r>
      <w:r>
        <w:t>credibilidad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evaluaciones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garantía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calidad.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aprobador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garantía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calidad</w:t>
      </w:r>
      <w:r>
        <w:rPr>
          <w:spacing w:val="-10"/>
        </w:rPr>
        <w:t xml:space="preserve"> </w:t>
      </w:r>
      <w:r>
        <w:t>debe funcionar a un nivel de responsabilidad superior al del evaluador de la garantía de calidad. El aprobador de la garantía de calidad suele ser el Representante Residente, el Representante Residente Adjunto o el jefe de cartera.</w:t>
      </w:r>
    </w:p>
    <w:p w14:paraId="7D4130D9" w14:textId="77777777" w:rsidR="006B23C7" w:rsidRDefault="00000000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/>
        <w:jc w:val="both"/>
      </w:pPr>
      <w:r>
        <w:t>Si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proyectos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cumplen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calidad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programación,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acciones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para mejorar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calidad</w:t>
      </w:r>
      <w:r>
        <w:rPr>
          <w:spacing w:val="-6"/>
        </w:rPr>
        <w:t xml:space="preserve"> </w:t>
      </w:r>
      <w:r>
        <w:t>deben</w:t>
      </w:r>
      <w:r>
        <w:rPr>
          <w:spacing w:val="-7"/>
        </w:rPr>
        <w:t xml:space="preserve"> </w:t>
      </w:r>
      <w:r>
        <w:t>registrarse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informes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garantía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calidad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abordarse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plazos previstos.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PNUD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resolver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problema,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registrarse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justificación</w:t>
      </w:r>
      <w:r>
        <w:rPr>
          <w:spacing w:val="-4"/>
        </w:rPr>
        <w:t xml:space="preserve"> </w:t>
      </w:r>
      <w:r>
        <w:t>adecuada</w:t>
      </w:r>
      <w:r>
        <w:rPr>
          <w:spacing w:val="-4"/>
        </w:rPr>
        <w:t xml:space="preserve"> </w:t>
      </w:r>
      <w:r>
        <w:t>de la gestión. Si no se han tomado las medidas adecuadas en el momento de volver a calificar el proyecto,</w:t>
      </w:r>
      <w:r>
        <w:rPr>
          <w:spacing w:val="-5"/>
        </w:rPr>
        <w:t xml:space="preserve"> </w:t>
      </w:r>
      <w:r>
        <w:t>éste</w:t>
      </w:r>
      <w:r>
        <w:rPr>
          <w:spacing w:val="-6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suspendido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resuelva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problema.</w:t>
      </w:r>
    </w:p>
    <w:p w14:paraId="48FBDF88" w14:textId="77777777" w:rsidR="006B23C7" w:rsidRDefault="00000000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/>
        <w:jc w:val="both"/>
      </w:pPr>
      <w:r>
        <w:t>La calidad de los documentos de los proyectos de desarrollo debe evaluarse antes del proceso de evaluación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calidad.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 cumplan las normas de calidad a un nivel satisfactorio no deben aprobarse. Si el contexto exige aprobar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cumple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normas,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ejemplo,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situación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crisis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requiere una</w:t>
      </w:r>
      <w:r>
        <w:rPr>
          <w:spacing w:val="-13"/>
        </w:rPr>
        <w:t xml:space="preserve"> </w:t>
      </w:r>
      <w:r>
        <w:t>actuación</w:t>
      </w:r>
      <w:r>
        <w:rPr>
          <w:spacing w:val="-12"/>
        </w:rPr>
        <w:t xml:space="preserve"> </w:t>
      </w:r>
      <w:r>
        <w:t>rápida,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proyecto</w:t>
      </w:r>
      <w:r>
        <w:rPr>
          <w:spacing w:val="-11"/>
        </w:rPr>
        <w:t xml:space="preserve"> </w:t>
      </w:r>
      <w:r>
        <w:t>puede</w:t>
      </w:r>
      <w:r>
        <w:rPr>
          <w:spacing w:val="-12"/>
        </w:rPr>
        <w:t xml:space="preserve"> </w:t>
      </w:r>
      <w:r>
        <w:t>aprobarse</w:t>
      </w:r>
      <w:r>
        <w:rPr>
          <w:spacing w:val="-13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deja</w:t>
      </w:r>
      <w:r>
        <w:rPr>
          <w:spacing w:val="-12"/>
        </w:rPr>
        <w:t xml:space="preserve"> </w:t>
      </w:r>
      <w:r>
        <w:t>constancia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justificación adecuada y si se adoptan medidas para mejorar la calidad en cuanto las condiciones lo permitan.</w:t>
      </w:r>
    </w:p>
    <w:p w14:paraId="01BB3110" w14:textId="77777777" w:rsidR="006B23C7" w:rsidRDefault="00000000">
      <w:pPr>
        <w:pStyle w:val="ListParagraph"/>
        <w:numPr>
          <w:ilvl w:val="0"/>
          <w:numId w:val="1"/>
        </w:numPr>
        <w:tabs>
          <w:tab w:val="left" w:pos="1890"/>
        </w:tabs>
        <w:spacing w:before="119"/>
        <w:ind w:left="1890" w:right="1438" w:hanging="360"/>
        <w:jc w:val="both"/>
      </w:pPr>
      <w:r>
        <w:t>Cuando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PNUD</w:t>
      </w:r>
      <w:r>
        <w:rPr>
          <w:spacing w:val="-12"/>
        </w:rPr>
        <w:t xml:space="preserve"> </w:t>
      </w:r>
      <w:r>
        <w:t>responde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crisis</w:t>
      </w:r>
      <w:r>
        <w:rPr>
          <w:spacing w:val="-11"/>
        </w:rPr>
        <w:t xml:space="preserve"> </w:t>
      </w:r>
      <w:r>
        <w:t>desencadenadas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catástrofe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conflicto,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necesidades inmediatas pueden exigir que la organización responda lo antes posible. En este caso, el procedimiento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calificación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GC</w:t>
      </w:r>
      <w:r>
        <w:rPr>
          <w:spacing w:val="-8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aplazarse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oficinas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país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aprobación</w:t>
      </w:r>
      <w:r>
        <w:rPr>
          <w:spacing w:val="-9"/>
        </w:rPr>
        <w:t xml:space="preserve"> </w:t>
      </w:r>
      <w:r>
        <w:t>de</w:t>
      </w:r>
    </w:p>
    <w:p w14:paraId="0555DF53" w14:textId="77777777" w:rsidR="006B23C7" w:rsidRDefault="006B23C7">
      <w:pPr>
        <w:pStyle w:val="BodyText"/>
        <w:spacing w:before="0"/>
        <w:jc w:val="left"/>
        <w:rPr>
          <w:sz w:val="20"/>
        </w:rPr>
      </w:pPr>
    </w:p>
    <w:p w14:paraId="4A652296" w14:textId="77777777" w:rsidR="006B23C7" w:rsidRDefault="00000000">
      <w:pPr>
        <w:pStyle w:val="BodyText"/>
        <w:spacing w:before="7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F71258" wp14:editId="4F87778F">
                <wp:simplePos x="0" y="0"/>
                <wp:positionH relativeFrom="page">
                  <wp:posOffset>914400</wp:posOffset>
                </wp:positionH>
                <wp:positionV relativeFrom="paragraph">
                  <wp:posOffset>206061</wp:posOffset>
                </wp:positionV>
                <wp:extent cx="182880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F2624" id="Graphic 12" o:spid="_x0000_s1026" style="position:absolute;margin-left:1in;margin-top:16.2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t/PLj9oAAAAJAQAADwAAAGRycy9kb3ducmV2LnhtbExPy06DQBTd&#10;m/QfJreJOzsUqFFkaBpj487YahqXAzMCKXOHMLeAf+91ZZfnkfPIt7PrxGiH0HpUsF5FICxW3rRY&#10;K/j82N89gAik0ejOo1XwYwNsi8VNrjPjJzzY8Ui14BAMmVbQEPWZlKFqrNNh5XuLrH37wWliONTS&#10;DHricNfJOIrupdMtckOje/vc2Op8vDgFE5Wn8fGcvL7QZv9eHsi8fZ1IqdvlvHsCQXamfzP8zefp&#10;UPCm0l/QBNExTlP+QgqSeAOCDWkSM1EywYIscnn9oPgFAAD//wMAUEsBAi0AFAAGAAgAAAAhALaD&#10;OJL+AAAA4QEAABMAAAAAAAAAAAAAAAAAAAAAAFtDb250ZW50X1R5cGVzXS54bWxQSwECLQAUAAYA&#10;CAAAACEAOP0h/9YAAACUAQAACwAAAAAAAAAAAAAAAAAvAQAAX3JlbHMvLnJlbHNQSwECLQAUAAYA&#10;CAAAACEAcn2aGR4CAAC9BAAADgAAAAAAAAAAAAAAAAAuAgAAZHJzL2Uyb0RvYy54bWxQSwECLQAU&#10;AAYACAAAACEAt/PLj9oAAAAJAQAADwAAAAAAAAAAAAAAAAB4BAAAZHJzL2Rvd25yZXYueG1sUEsF&#10;BgAAAAAEAAQA8wAAAH8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EC9E24" w14:textId="77777777" w:rsidR="006B23C7" w:rsidRDefault="00000000">
      <w:pPr>
        <w:spacing w:before="95" w:line="247" w:lineRule="auto"/>
        <w:ind w:left="1439" w:right="1347"/>
        <w:rPr>
          <w:sz w:val="16"/>
        </w:rPr>
      </w:pPr>
      <w:r>
        <w:rPr>
          <w:position w:val="7"/>
          <w:sz w:val="13"/>
        </w:rPr>
        <w:t xml:space="preserve">1 </w:t>
      </w:r>
      <w:r>
        <w:rPr>
          <w:sz w:val="16"/>
        </w:rPr>
        <w:t>Las categorías de proyectos exentas de la garantía de calidad incluyen: proyectos de desarrollo y eficacia institucional; planes de iniciación y</w:t>
      </w:r>
      <w:r>
        <w:rPr>
          <w:spacing w:val="40"/>
          <w:sz w:val="16"/>
        </w:rPr>
        <w:t xml:space="preserve"> </w:t>
      </w:r>
      <w:r>
        <w:rPr>
          <w:sz w:val="16"/>
        </w:rPr>
        <w:t>subvenciones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preparación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proyectos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FMAM;</w:t>
      </w:r>
      <w:r>
        <w:rPr>
          <w:spacing w:val="-2"/>
          <w:sz w:val="16"/>
        </w:rPr>
        <w:t xml:space="preserve"> </w:t>
      </w:r>
      <w:r>
        <w:rPr>
          <w:sz w:val="16"/>
        </w:rPr>
        <w:t>proyectos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PNUD</w:t>
      </w:r>
      <w:r>
        <w:rPr>
          <w:spacing w:val="-1"/>
          <w:sz w:val="16"/>
        </w:rPr>
        <w:t xml:space="preserve"> </w:t>
      </w:r>
      <w:r>
        <w:rPr>
          <w:sz w:val="16"/>
        </w:rPr>
        <w:t>es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único</w:t>
      </w:r>
      <w:r>
        <w:rPr>
          <w:spacing w:val="-3"/>
          <w:sz w:val="16"/>
        </w:rPr>
        <w:t xml:space="preserve"> </w:t>
      </w:r>
      <w:r>
        <w:rPr>
          <w:sz w:val="16"/>
        </w:rPr>
        <w:t>agente</w:t>
      </w:r>
      <w:r>
        <w:rPr>
          <w:spacing w:val="-3"/>
          <w:sz w:val="16"/>
        </w:rPr>
        <w:t xml:space="preserve"> </w:t>
      </w:r>
      <w:r>
        <w:rPr>
          <w:sz w:val="16"/>
        </w:rPr>
        <w:t>gestor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administrativo;</w:t>
      </w:r>
      <w:r>
        <w:rPr>
          <w:spacing w:val="-2"/>
          <w:sz w:val="16"/>
        </w:rPr>
        <w:t xml:space="preserve"> </w:t>
      </w:r>
      <w:r>
        <w:rPr>
          <w:sz w:val="16"/>
        </w:rPr>
        <w:t>mecanismo</w:t>
      </w:r>
      <w:r>
        <w:rPr>
          <w:spacing w:val="40"/>
          <w:sz w:val="16"/>
        </w:rPr>
        <w:t xml:space="preserve"> </w:t>
      </w:r>
      <w:r>
        <w:rPr>
          <w:sz w:val="16"/>
        </w:rPr>
        <w:t>de participación; servicios de desarrollo.</w:t>
      </w:r>
    </w:p>
    <w:p w14:paraId="247B847A" w14:textId="77777777" w:rsidR="006B23C7" w:rsidRDefault="006B23C7">
      <w:pPr>
        <w:spacing w:line="247" w:lineRule="auto"/>
        <w:rPr>
          <w:sz w:val="16"/>
        </w:rPr>
        <w:sectPr w:rsidR="006B23C7">
          <w:pgSz w:w="12240" w:h="15840"/>
          <w:pgMar w:top="1620" w:right="0" w:bottom="940" w:left="0" w:header="720" w:footer="744" w:gutter="0"/>
          <w:cols w:space="720"/>
        </w:sectPr>
      </w:pPr>
    </w:p>
    <w:p w14:paraId="3195F50B" w14:textId="457FD7BF" w:rsidR="006B23C7" w:rsidRDefault="00000000">
      <w:pPr>
        <w:pStyle w:val="BodyText"/>
        <w:spacing w:before="15"/>
        <w:ind w:left="1890" w:right="1438"/>
      </w:pPr>
      <w:r>
        <w:lastRenderedPageBreak/>
        <w:t xml:space="preserve">la </w:t>
      </w:r>
      <w:r w:rsidR="00A245A2">
        <w:t>Buró</w:t>
      </w:r>
      <w:r>
        <w:t xml:space="preserve"> Regional. Las calificaciones de GC deben realizarse en los 12 meses siguientes al aplazamiento, a menos que la </w:t>
      </w:r>
      <w:r w:rsidR="00A245A2">
        <w:t>Buró</w:t>
      </w:r>
      <w:r>
        <w:t xml:space="preserve"> Regional haya concedido una nueva prórroga.</w:t>
      </w:r>
    </w:p>
    <w:p w14:paraId="60E66DBA" w14:textId="77777777" w:rsidR="006B23C7" w:rsidRDefault="00000000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/>
        <w:jc w:val="both"/>
      </w:pPr>
      <w:r>
        <w:t>Durante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fase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ejecución,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requieren</w:t>
      </w:r>
      <w:r>
        <w:rPr>
          <w:spacing w:val="-12"/>
        </w:rPr>
        <w:t xml:space="preserve"> </w:t>
      </w:r>
      <w:r>
        <w:t>evaluaciones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calidad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proyecto</w:t>
      </w:r>
      <w:r>
        <w:rPr>
          <w:spacing w:val="-12"/>
        </w:rPr>
        <w:t xml:space="preserve"> </w:t>
      </w:r>
      <w:r>
        <w:t>cada dos años. Los proyectos que hayan sido aprobados, pero en los que no se haya actuado o se haya actuado poco debido a dificultades operativas, de recursos, de asociación o de otro tipo, deberán realizar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señalen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problemas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afectan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calidad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resultados.</w:t>
      </w:r>
    </w:p>
    <w:p w14:paraId="030C6465" w14:textId="77777777" w:rsidR="006B23C7" w:rsidRDefault="00000000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 w:right="1440"/>
        <w:jc w:val="both"/>
      </w:pPr>
      <w:r>
        <w:t>Antes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cierre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requiere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garantía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calidad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 junto con un resumen de las lecciones aprendidas durante el proyecto.</w:t>
      </w:r>
    </w:p>
    <w:p w14:paraId="0D7438C8" w14:textId="77777777" w:rsidR="006B23C7" w:rsidRDefault="00000000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 w:right="1436"/>
        <w:jc w:val="both"/>
      </w:pP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rendición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cuentas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PNUD</w:t>
      </w:r>
      <w:r>
        <w:rPr>
          <w:b/>
          <w:spacing w:val="-11"/>
        </w:rPr>
        <w:t xml:space="preserve"> </w:t>
      </w:r>
      <w:r>
        <w:t>ante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Junta</w:t>
      </w:r>
      <w:r>
        <w:rPr>
          <w:spacing w:val="-9"/>
        </w:rPr>
        <w:t xml:space="preserve"> </w:t>
      </w:r>
      <w:r>
        <w:t>Ejecutiva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partes</w:t>
      </w:r>
      <w:r>
        <w:rPr>
          <w:spacing w:val="-10"/>
        </w:rPr>
        <w:t xml:space="preserve"> </w:t>
      </w:r>
      <w:r>
        <w:t>interesadas</w:t>
      </w:r>
      <w:r>
        <w:rPr>
          <w:spacing w:val="-10"/>
        </w:rPr>
        <w:t xml:space="preserve"> </w:t>
      </w:r>
      <w:r>
        <w:t>nacionales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 de evaluaciones independientes; la rendición de cuentas ante el Administrador por el buen uso de los recursos dicta que debe asumir la responsabilidad de medir y garantizar la calidad de los programas y proyectos que financia y apoya. Si bien se alienta a otros miembros del personal, asociados nacionales, asociados para el desarrollo, expertos externos y asesores a que participen y apoyen la garantía de calidad de los programas y proyectos, es responsabilidad del evaluador de la garantía de calidad y del aprobador de la garantía de calidad velar por que las evaluaciones de la calidad se lleven a cabo eficazmente. Ellos son los mejor situados para proporcionar información precisa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proyectos,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obligados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garantizar</w:t>
      </w:r>
      <w:r>
        <w:rPr>
          <w:spacing w:val="-3"/>
        </w:rPr>
        <w:t xml:space="preserve"> </w:t>
      </w:r>
      <w:r>
        <w:t>una información completa, objetiva y precisa en los informes de garantía de calidad.</w:t>
      </w:r>
    </w:p>
    <w:p w14:paraId="3EB30C14" w14:textId="05A87266" w:rsidR="006B23C7" w:rsidRDefault="00000000">
      <w:pPr>
        <w:pStyle w:val="ListParagraph"/>
        <w:numPr>
          <w:ilvl w:val="0"/>
          <w:numId w:val="1"/>
        </w:numPr>
        <w:tabs>
          <w:tab w:val="left" w:pos="1888"/>
          <w:tab w:val="left" w:pos="1890"/>
        </w:tabs>
        <w:ind w:left="1890" w:right="1435"/>
        <w:jc w:val="both"/>
      </w:pPr>
      <w:r>
        <w:t xml:space="preserve">Las </w:t>
      </w:r>
      <w:r w:rsidR="00A245A2">
        <w:t>Burós</w:t>
      </w:r>
      <w:r>
        <w:t xml:space="preserve"> Regionales del PNUD, y la Dirección de Apoyo a las Políticas y los Programas en el caso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proyectos</w:t>
      </w:r>
      <w:r>
        <w:rPr>
          <w:spacing w:val="-8"/>
        </w:rPr>
        <w:t xml:space="preserve"> </w:t>
      </w:r>
      <w:r>
        <w:t>mundiales,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responsables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rPr>
          <w:b/>
        </w:rPr>
        <w:t>"verificaciones</w:t>
      </w:r>
      <w:r>
        <w:rPr>
          <w:b/>
          <w:spacing w:val="-8"/>
        </w:rPr>
        <w:t xml:space="preserve"> </w:t>
      </w:r>
      <w:r w:rsidR="00966520">
        <w:rPr>
          <w:b/>
          <w:spacing w:val="-8"/>
        </w:rPr>
        <w:t>esporádicas</w:t>
      </w:r>
      <w:r>
        <w:rPr>
          <w:b/>
        </w:rPr>
        <w:t>"</w:t>
      </w:r>
      <w:r>
        <w:rPr>
          <w:b/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informes de GC de los proyectos para evaluar su calidad y exactitud, e informar sobre el aprendizaje organizativo. L</w:t>
      </w:r>
      <w:r w:rsidR="00A245A2">
        <w:t>o</w:t>
      </w:r>
      <w:r>
        <w:t xml:space="preserve">s </w:t>
      </w:r>
      <w:r w:rsidR="00A245A2">
        <w:t>Burós</w:t>
      </w:r>
      <w:r>
        <w:t xml:space="preserve"> Regionales verificarán al azar una muestra de informe</w:t>
      </w:r>
      <w:r w:rsidR="00A245A2">
        <w:t>s</w:t>
      </w:r>
      <w:r>
        <w:t xml:space="preserve"> de GC de proyectos lo suficientemente grande como para garantizar razonablemente la credibilidad general 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evaluaciones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región.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muestreo</w:t>
      </w:r>
      <w:r>
        <w:rPr>
          <w:spacing w:val="-12"/>
        </w:rPr>
        <w:t xml:space="preserve"> </w:t>
      </w:r>
      <w:r>
        <w:t>debe</w:t>
      </w:r>
      <w:r>
        <w:rPr>
          <w:spacing w:val="-12"/>
        </w:rPr>
        <w:t xml:space="preserve"> </w:t>
      </w:r>
      <w:r>
        <w:t>incluir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mezcla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muestreo</w:t>
      </w:r>
      <w:r>
        <w:rPr>
          <w:spacing w:val="-12"/>
        </w:rPr>
        <w:t xml:space="preserve"> </w:t>
      </w:r>
      <w:r>
        <w:t>aleatorio,</w:t>
      </w:r>
      <w:r>
        <w:rPr>
          <w:spacing w:val="-12"/>
        </w:rPr>
        <w:t xml:space="preserve"> </w:t>
      </w:r>
      <w:r>
        <w:t>oficinas de país con proyectos de muy alto valor o estratégicamente importantes, y oficinas de país con calificaciones de garantía de calidad extremadamente altas o extremadamente bajas.</w:t>
      </w:r>
    </w:p>
    <w:sectPr w:rsidR="006B23C7">
      <w:pgSz w:w="12240" w:h="15840"/>
      <w:pgMar w:top="1620" w:right="0" w:bottom="940" w:left="0" w:header="72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6E2A9" w14:textId="77777777" w:rsidR="00501BEF" w:rsidRDefault="00501BEF">
      <w:r>
        <w:separator/>
      </w:r>
    </w:p>
  </w:endnote>
  <w:endnote w:type="continuationSeparator" w:id="0">
    <w:p w14:paraId="578054EC" w14:textId="77777777" w:rsidR="00501BEF" w:rsidRDefault="0050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8E4E4" w14:textId="77777777" w:rsidR="00A245A2" w:rsidRDefault="00A24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7CC0A" w14:textId="48519504" w:rsidR="006B23C7" w:rsidRPr="00A245A2" w:rsidRDefault="00A245A2" w:rsidP="00A245A2">
    <w:pPr>
      <w:pStyle w:val="Footer"/>
      <w:rPr>
        <w:lang w:val="en-GB"/>
      </w:rPr>
    </w:pPr>
    <w:r>
      <w:rPr>
        <w:lang w:val="en-GB"/>
      </w:rPr>
      <w:t xml:space="preserve">                                    </w:t>
    </w:r>
    <w:r w:rsidRPr="00A245A2">
      <w:rPr>
        <w:lang w:val="en-GB"/>
      </w:rPr>
      <w:t xml:space="preserve">Page </w:t>
    </w:r>
    <w:r>
      <w:rPr>
        <w:b/>
        <w:bCs/>
      </w:rPr>
      <w:fldChar w:fldCharType="begin"/>
    </w:r>
    <w:r w:rsidRPr="00A245A2">
      <w:rPr>
        <w:b/>
        <w:bCs/>
        <w:lang w:val="en-GB"/>
      </w:rPr>
      <w:instrText xml:space="preserve"> PAGE  \* Arabic  \* MERGEFORMAT </w:instrText>
    </w:r>
    <w:r>
      <w:rPr>
        <w:b/>
        <w:bCs/>
      </w:rPr>
      <w:fldChar w:fldCharType="separate"/>
    </w:r>
    <w:r w:rsidRPr="00A245A2">
      <w:rPr>
        <w:b/>
        <w:bCs/>
        <w:noProof/>
        <w:lang w:val="en-GB"/>
      </w:rPr>
      <w:t>1</w:t>
    </w:r>
    <w:r>
      <w:rPr>
        <w:b/>
        <w:bCs/>
      </w:rPr>
      <w:fldChar w:fldCharType="end"/>
    </w:r>
    <w:r w:rsidRPr="00A245A2">
      <w:rPr>
        <w:lang w:val="en-GB"/>
      </w:rPr>
      <w:t xml:space="preserve"> of </w:t>
    </w:r>
    <w:r>
      <w:rPr>
        <w:b/>
        <w:bCs/>
      </w:rPr>
      <w:fldChar w:fldCharType="begin"/>
    </w:r>
    <w:r w:rsidRPr="00A245A2">
      <w:rPr>
        <w:b/>
        <w:bCs/>
        <w:lang w:val="en-GB"/>
      </w:rPr>
      <w:instrText xml:space="preserve"> NUMPAGES  \* Arabic  \* MERGEFORMAT </w:instrText>
    </w:r>
    <w:r>
      <w:rPr>
        <w:b/>
        <w:bCs/>
      </w:rPr>
      <w:fldChar w:fldCharType="separate"/>
    </w:r>
    <w:r w:rsidRPr="00A245A2">
      <w:rPr>
        <w:b/>
        <w:bCs/>
        <w:noProof/>
        <w:lang w:val="en-GB"/>
      </w:rPr>
      <w:t>2</w:t>
    </w:r>
    <w:r>
      <w:rPr>
        <w:b/>
        <w:bCs/>
      </w:rPr>
      <w:fldChar w:fldCharType="end"/>
    </w:r>
    <w:r>
      <w:ptab w:relativeTo="margin" w:alignment="center" w:leader="none"/>
    </w:r>
    <w:r>
      <w:t>06/05/2018</w:t>
    </w:r>
    <w:r>
      <w:tab/>
    </w:r>
    <w:r>
      <w:tab/>
    </w:r>
    <w:r>
      <w:tab/>
      <w:t>v. 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9E89" w14:textId="77777777" w:rsidR="00A245A2" w:rsidRDefault="00A245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C3FE" w14:textId="77777777" w:rsidR="000E357A" w:rsidRPr="00A245A2" w:rsidRDefault="000E357A" w:rsidP="000E357A">
    <w:pPr>
      <w:pStyle w:val="Footer"/>
      <w:rPr>
        <w:lang w:val="en-GB"/>
      </w:rPr>
    </w:pPr>
    <w:r>
      <w:rPr>
        <w:lang w:val="en-GB"/>
      </w:rPr>
      <w:t xml:space="preserve">                                    </w:t>
    </w:r>
    <w:r w:rsidRPr="00A245A2">
      <w:rPr>
        <w:lang w:val="en-GB"/>
      </w:rPr>
      <w:t xml:space="preserve">Page </w:t>
    </w:r>
    <w:r>
      <w:rPr>
        <w:b/>
        <w:bCs/>
      </w:rPr>
      <w:fldChar w:fldCharType="begin"/>
    </w:r>
    <w:r w:rsidRPr="00A245A2">
      <w:rPr>
        <w:b/>
        <w:bCs/>
        <w:lang w:val="en-GB"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 w:rsidRPr="00A245A2">
      <w:rPr>
        <w:lang w:val="en-GB"/>
      </w:rPr>
      <w:t xml:space="preserve"> of </w:t>
    </w:r>
    <w:r>
      <w:rPr>
        <w:b/>
        <w:bCs/>
      </w:rPr>
      <w:fldChar w:fldCharType="begin"/>
    </w:r>
    <w:r w:rsidRPr="00A245A2">
      <w:rPr>
        <w:b/>
        <w:bCs/>
        <w:lang w:val="en-GB"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ptab w:relativeTo="margin" w:alignment="center" w:leader="none"/>
    </w:r>
    <w:r>
      <w:t>06/05/2018</w:t>
    </w:r>
    <w:r>
      <w:tab/>
    </w:r>
    <w:r>
      <w:tab/>
    </w:r>
    <w:r>
      <w:tab/>
      <w:t>v. 7</w:t>
    </w:r>
  </w:p>
  <w:p w14:paraId="09B5FD29" w14:textId="279387CF" w:rsidR="006B23C7" w:rsidRPr="000E357A" w:rsidRDefault="006B23C7" w:rsidP="000E3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9ED3E" w14:textId="77777777" w:rsidR="00501BEF" w:rsidRDefault="00501BEF">
      <w:r>
        <w:separator/>
      </w:r>
    </w:p>
  </w:footnote>
  <w:footnote w:type="continuationSeparator" w:id="0">
    <w:p w14:paraId="057AB9D6" w14:textId="77777777" w:rsidR="00501BEF" w:rsidRDefault="00501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66573" w14:textId="77777777" w:rsidR="00A245A2" w:rsidRDefault="00A24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9C512" w14:textId="77777777" w:rsidR="00A245A2" w:rsidRDefault="00A245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2B2CB" w14:textId="77777777" w:rsidR="00A245A2" w:rsidRDefault="00A245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FAB94" w14:textId="77777777" w:rsidR="006B23C7" w:rsidRDefault="00000000">
    <w:pPr>
      <w:pStyle w:val="BodyText"/>
      <w:spacing w:before="0"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F6DF2A5" wp14:editId="1802929E">
          <wp:simplePos x="0" y="0"/>
          <wp:positionH relativeFrom="page">
            <wp:posOffset>6572250</wp:posOffset>
          </wp:positionH>
          <wp:positionV relativeFrom="page">
            <wp:posOffset>457200</wp:posOffset>
          </wp:positionV>
          <wp:extent cx="278828" cy="580973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8828" cy="580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0338F"/>
    <w:multiLevelType w:val="hybridMultilevel"/>
    <w:tmpl w:val="7CECF4CE"/>
    <w:lvl w:ilvl="0" w:tplc="292E2912">
      <w:start w:val="1"/>
      <w:numFmt w:val="decimal"/>
      <w:lvlText w:val="%1."/>
      <w:lvlJc w:val="left"/>
      <w:pPr>
        <w:ind w:left="188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0BCE25D2">
      <w:numFmt w:val="bullet"/>
      <w:lvlText w:val="•"/>
      <w:lvlJc w:val="left"/>
      <w:pPr>
        <w:ind w:left="2916" w:hanging="361"/>
      </w:pPr>
      <w:rPr>
        <w:rFonts w:hint="default"/>
        <w:lang w:val="es-ES" w:eastAsia="en-US" w:bidi="ar-SA"/>
      </w:rPr>
    </w:lvl>
    <w:lvl w:ilvl="2" w:tplc="7312E394">
      <w:numFmt w:val="bullet"/>
      <w:lvlText w:val="•"/>
      <w:lvlJc w:val="left"/>
      <w:pPr>
        <w:ind w:left="3952" w:hanging="361"/>
      </w:pPr>
      <w:rPr>
        <w:rFonts w:hint="default"/>
        <w:lang w:val="es-ES" w:eastAsia="en-US" w:bidi="ar-SA"/>
      </w:rPr>
    </w:lvl>
    <w:lvl w:ilvl="3" w:tplc="5C06C4EC">
      <w:numFmt w:val="bullet"/>
      <w:lvlText w:val="•"/>
      <w:lvlJc w:val="left"/>
      <w:pPr>
        <w:ind w:left="4988" w:hanging="361"/>
      </w:pPr>
      <w:rPr>
        <w:rFonts w:hint="default"/>
        <w:lang w:val="es-ES" w:eastAsia="en-US" w:bidi="ar-SA"/>
      </w:rPr>
    </w:lvl>
    <w:lvl w:ilvl="4" w:tplc="25685660">
      <w:numFmt w:val="bullet"/>
      <w:lvlText w:val="•"/>
      <w:lvlJc w:val="left"/>
      <w:pPr>
        <w:ind w:left="6024" w:hanging="361"/>
      </w:pPr>
      <w:rPr>
        <w:rFonts w:hint="default"/>
        <w:lang w:val="es-ES" w:eastAsia="en-US" w:bidi="ar-SA"/>
      </w:rPr>
    </w:lvl>
    <w:lvl w:ilvl="5" w:tplc="F7122772">
      <w:numFmt w:val="bullet"/>
      <w:lvlText w:val="•"/>
      <w:lvlJc w:val="left"/>
      <w:pPr>
        <w:ind w:left="7060" w:hanging="361"/>
      </w:pPr>
      <w:rPr>
        <w:rFonts w:hint="default"/>
        <w:lang w:val="es-ES" w:eastAsia="en-US" w:bidi="ar-SA"/>
      </w:rPr>
    </w:lvl>
    <w:lvl w:ilvl="6" w:tplc="A7281952">
      <w:numFmt w:val="bullet"/>
      <w:lvlText w:val="•"/>
      <w:lvlJc w:val="left"/>
      <w:pPr>
        <w:ind w:left="8096" w:hanging="361"/>
      </w:pPr>
      <w:rPr>
        <w:rFonts w:hint="default"/>
        <w:lang w:val="es-ES" w:eastAsia="en-US" w:bidi="ar-SA"/>
      </w:rPr>
    </w:lvl>
    <w:lvl w:ilvl="7" w:tplc="A978E55C">
      <w:numFmt w:val="bullet"/>
      <w:lvlText w:val="•"/>
      <w:lvlJc w:val="left"/>
      <w:pPr>
        <w:ind w:left="9132" w:hanging="361"/>
      </w:pPr>
      <w:rPr>
        <w:rFonts w:hint="default"/>
        <w:lang w:val="es-ES" w:eastAsia="en-US" w:bidi="ar-SA"/>
      </w:rPr>
    </w:lvl>
    <w:lvl w:ilvl="8" w:tplc="95E84E0A">
      <w:numFmt w:val="bullet"/>
      <w:lvlText w:val="•"/>
      <w:lvlJc w:val="left"/>
      <w:pPr>
        <w:ind w:left="10168" w:hanging="361"/>
      </w:pPr>
      <w:rPr>
        <w:rFonts w:hint="default"/>
        <w:lang w:val="es-ES" w:eastAsia="en-US" w:bidi="ar-SA"/>
      </w:rPr>
    </w:lvl>
  </w:abstractNum>
  <w:num w:numId="1" w16cid:durableId="100493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3C7"/>
    <w:rsid w:val="000E357A"/>
    <w:rsid w:val="001814C9"/>
    <w:rsid w:val="00447385"/>
    <w:rsid w:val="004A14D3"/>
    <w:rsid w:val="00501BEF"/>
    <w:rsid w:val="005F466A"/>
    <w:rsid w:val="006B23C7"/>
    <w:rsid w:val="00822E54"/>
    <w:rsid w:val="00966520"/>
    <w:rsid w:val="00A2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0BB47D"/>
  <w15:docId w15:val="{324CE837-2C5B-4C14-A8E8-9533E719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20"/>
      <w:ind w:left="1886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jc w:val="both"/>
    </w:pPr>
  </w:style>
  <w:style w:type="paragraph" w:styleId="Title">
    <w:name w:val="Title"/>
    <w:basedOn w:val="Normal"/>
    <w:uiPriority w:val="10"/>
    <w:qFormat/>
    <w:pPr>
      <w:spacing w:before="44"/>
      <w:ind w:left="14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1890" w:right="143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2E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E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2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E54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22E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E5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dp.org/content/undp/en/home/librarypage/operations1/undp-social-and-environmental-standards.html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eb.undp.org/evaluation/documents/IEO/IEO_Charter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opp.undp.org/es/node/10556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1982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Opar</dc:creator>
  <cp:keywords>, docId:4FD7EBFF3A960E285855342834761AE7</cp:keywords>
  <dc:description/>
  <cp:lastModifiedBy>Pablo Morete</cp:lastModifiedBy>
  <cp:revision>6</cp:revision>
  <dcterms:created xsi:type="dcterms:W3CDTF">2023-08-22T10:17:00Z</dcterms:created>
  <dcterms:modified xsi:type="dcterms:W3CDTF">2024-05-23T14:36:00Z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0x0101008041760EB5333C4BA8AB8C0E03F88927</vt:lpwstr>
  </property>
  <property fmtid="{D5CDD505-2E9C-101B-9397-08002B2CF9AE}" pid="3" name="Created">
    <vt:filetime>2023-08-22T00:00:00Z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2023-08-22T00:00:00Z</vt:filetime>
  </property>
  <property fmtid="{D5CDD505-2E9C-101B-9397-08002B2CF9AE}" pid="6" name="POPPBusinessProcess">
    <vt:lpwstr/>
  </property>
  <property fmtid="{D5CDD505-2E9C-101B-9397-08002B2CF9AE}" pid="7" name="Producer">
    <vt:lpwstr>Adobe PDF Library 23.3.45</vt:lpwstr>
  </property>
  <property fmtid="{D5CDD505-2E9C-101B-9397-08002B2CF9AE}" pid="8" name="SourceModified">
    <vt:lpwstr>D:20230822101437</vt:lpwstr>
  </property>
  <property fmtid="{D5CDD505-2E9C-101B-9397-08002B2CF9AE}" pid="9" name="UNDP_POPP_BUSINESSUNIT">
    <vt:lpwstr>669;#Programme and Project Management|1c019435-9793-447e-8959-0b32d23bf3d5</vt:lpwstr>
  </property>
  <property fmtid="{D5CDD505-2E9C-101B-9397-08002B2CF9AE}" pid="10" name="_dlc_DocIdItemGuid">
    <vt:lpwstr>04cbb0a2-9611-4dd3-b6b9-64638facf814</vt:lpwstr>
  </property>
</Properties>
</file>