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6FE2F" w14:textId="77777777" w:rsidR="00822C31" w:rsidRPr="005B3F19" w:rsidRDefault="00E02075" w:rsidP="00F76234">
      <w:pPr>
        <w:shd w:val="clear" w:color="auto" w:fill="FFFFFF"/>
        <w:spacing w:line="240" w:lineRule="auto"/>
        <w:textAlignment w:val="top"/>
        <w:rPr>
          <w:rFonts w:ascii="Calibri" w:eastAsia="Times New Roman" w:hAnsi="Calibri" w:cs="Arial"/>
          <w:b/>
          <w:bCs/>
          <w:sz w:val="28"/>
        </w:rPr>
      </w:pPr>
      <w:r>
        <w:rPr>
          <w:rFonts w:ascii="Calibri" w:hAnsi="Calibri"/>
          <w:b/>
          <w:bCs/>
          <w:sz w:val="28"/>
        </w:rPr>
        <w:t>Déontologie en matière d</w:t>
      </w:r>
      <w:r w:rsidR="00B03DBE">
        <w:rPr>
          <w:rFonts w:ascii="Calibri" w:hAnsi="Calibri"/>
          <w:b/>
          <w:bCs/>
          <w:sz w:val="28"/>
        </w:rPr>
        <w:t>’</w:t>
      </w:r>
      <w:r>
        <w:rPr>
          <w:rFonts w:ascii="Calibri" w:hAnsi="Calibri"/>
          <w:b/>
          <w:bCs/>
          <w:sz w:val="28"/>
        </w:rPr>
        <w:t>achat, fraude et corruption</w:t>
      </w:r>
    </w:p>
    <w:p w14:paraId="52220DD7" w14:textId="77777777" w:rsidR="001052B5" w:rsidRPr="00233F6F" w:rsidRDefault="001052B5" w:rsidP="00E02075">
      <w:pPr>
        <w:shd w:val="clear" w:color="auto" w:fill="FFFFFF"/>
        <w:spacing w:after="0" w:line="240" w:lineRule="auto"/>
        <w:textAlignment w:val="top"/>
        <w:rPr>
          <w:rFonts w:ascii="Calibri" w:eastAsia="Times New Roman" w:hAnsi="Calibri" w:cs="Arial"/>
          <w:color w:val="333333"/>
        </w:rPr>
      </w:pPr>
    </w:p>
    <w:p w14:paraId="7F79D6DB" w14:textId="77777777" w:rsidR="00F76234" w:rsidRPr="007E161B" w:rsidRDefault="00A0354E" w:rsidP="00F76234">
      <w:pPr>
        <w:pStyle w:val="ListParagraph"/>
        <w:numPr>
          <w:ilvl w:val="0"/>
          <w:numId w:val="19"/>
        </w:numPr>
        <w:shd w:val="clear" w:color="auto" w:fill="FFFFFF"/>
        <w:spacing w:after="0" w:line="240" w:lineRule="auto"/>
        <w:jc w:val="both"/>
        <w:textAlignment w:val="top"/>
        <w:rPr>
          <w:rFonts w:ascii="Calibri" w:eastAsia="Times New Roman" w:hAnsi="Calibri" w:cs="Arial"/>
        </w:rPr>
      </w:pPr>
      <w:r>
        <w:rPr>
          <w:rFonts w:ascii="Calibri" w:hAnsi="Calibri"/>
        </w:rPr>
        <w:t>Cette politique repose sur quatre grands principes d</w:t>
      </w:r>
      <w:r w:rsidR="00B03DBE">
        <w:rPr>
          <w:rFonts w:ascii="Calibri" w:hAnsi="Calibri"/>
        </w:rPr>
        <w:t>’</w:t>
      </w:r>
      <w:r>
        <w:rPr>
          <w:rFonts w:ascii="Calibri" w:hAnsi="Calibri"/>
        </w:rPr>
        <w:t xml:space="preserve">achats énoncés dans le Règlement financier et règles de gestion financière du </w:t>
      </w:r>
      <w:r w:rsidR="00310CC9">
        <w:rPr>
          <w:rFonts w:ascii="Calibri" w:hAnsi="Calibri"/>
        </w:rPr>
        <w:t>Programme des Nations Unies pour le développement (</w:t>
      </w:r>
      <w:r>
        <w:rPr>
          <w:rFonts w:ascii="Calibri" w:hAnsi="Calibri"/>
        </w:rPr>
        <w:t>PNUD</w:t>
      </w:r>
      <w:r w:rsidR="00310CC9">
        <w:rPr>
          <w:rFonts w:ascii="Calibri" w:hAnsi="Calibri"/>
        </w:rPr>
        <w:t>)</w:t>
      </w:r>
      <w:r>
        <w:rPr>
          <w:rFonts w:ascii="Calibri" w:hAnsi="Calibri"/>
        </w:rPr>
        <w:t>. À savoir</w:t>
      </w:r>
      <w:r w:rsidR="00F42C43">
        <w:rPr>
          <w:rFonts w:ascii="Calibri" w:hAnsi="Calibri"/>
        </w:rPr>
        <w:t> </w:t>
      </w:r>
      <w:r>
        <w:rPr>
          <w:rFonts w:ascii="Calibri" w:hAnsi="Calibri"/>
        </w:rPr>
        <w:t>:</w:t>
      </w:r>
    </w:p>
    <w:p w14:paraId="00348307" w14:textId="77777777" w:rsidR="004D631C" w:rsidRPr="007E161B" w:rsidRDefault="004D631C" w:rsidP="00F76234">
      <w:pPr>
        <w:pStyle w:val="ListParagraph"/>
        <w:shd w:val="clear" w:color="auto" w:fill="FFFFFF"/>
        <w:spacing w:after="0" w:line="240" w:lineRule="auto"/>
        <w:jc w:val="both"/>
        <w:textAlignment w:val="top"/>
        <w:rPr>
          <w:rFonts w:ascii="Calibri" w:eastAsia="Times New Roman" w:hAnsi="Calibri" w:cs="Arial"/>
        </w:rPr>
      </w:pPr>
    </w:p>
    <w:p w14:paraId="79935392" w14:textId="77777777" w:rsidR="00F76234" w:rsidRPr="007E161B" w:rsidRDefault="004D631C" w:rsidP="00F76234">
      <w:pPr>
        <w:pStyle w:val="ListParagraph"/>
        <w:numPr>
          <w:ilvl w:val="0"/>
          <w:numId w:val="20"/>
        </w:numPr>
        <w:shd w:val="clear" w:color="auto" w:fill="FFFFFF"/>
        <w:spacing w:after="0" w:line="240" w:lineRule="auto"/>
        <w:ind w:left="1440"/>
        <w:textAlignment w:val="top"/>
        <w:rPr>
          <w:rFonts w:ascii="Calibri" w:eastAsia="Times New Roman" w:hAnsi="Calibri" w:cs="Arial"/>
        </w:rPr>
      </w:pPr>
      <w:r>
        <w:rPr>
          <w:rFonts w:ascii="Calibri" w:hAnsi="Calibri"/>
        </w:rPr>
        <w:t>Le meilleur rapport qualité-prix</w:t>
      </w:r>
    </w:p>
    <w:p w14:paraId="23F9F271" w14:textId="77777777" w:rsidR="00F76234" w:rsidRPr="007E161B" w:rsidRDefault="00F76234" w:rsidP="00F76234">
      <w:pPr>
        <w:pStyle w:val="ListParagraph"/>
        <w:shd w:val="clear" w:color="auto" w:fill="FFFFFF"/>
        <w:spacing w:after="0" w:line="240" w:lineRule="auto"/>
        <w:ind w:left="1440"/>
        <w:textAlignment w:val="top"/>
        <w:rPr>
          <w:rFonts w:ascii="Calibri" w:eastAsia="Times New Roman" w:hAnsi="Calibri" w:cs="Arial"/>
          <w:lang w:val="en-US"/>
        </w:rPr>
      </w:pPr>
    </w:p>
    <w:p w14:paraId="46D69837" w14:textId="77777777" w:rsidR="00F76234" w:rsidRPr="007E161B" w:rsidRDefault="004D631C" w:rsidP="00F76234">
      <w:pPr>
        <w:pStyle w:val="ListParagraph"/>
        <w:numPr>
          <w:ilvl w:val="0"/>
          <w:numId w:val="20"/>
        </w:numPr>
        <w:shd w:val="clear" w:color="auto" w:fill="FFFFFF"/>
        <w:spacing w:after="0" w:line="240" w:lineRule="auto"/>
        <w:ind w:left="1440"/>
        <w:textAlignment w:val="top"/>
        <w:rPr>
          <w:rFonts w:ascii="Calibri" w:eastAsia="Times New Roman" w:hAnsi="Calibri" w:cs="Arial"/>
        </w:rPr>
      </w:pPr>
      <w:r>
        <w:rPr>
          <w:rFonts w:ascii="Calibri" w:hAnsi="Calibri"/>
        </w:rPr>
        <w:t>L</w:t>
      </w:r>
      <w:r w:rsidR="00B03DBE">
        <w:rPr>
          <w:rFonts w:ascii="Calibri" w:hAnsi="Calibri"/>
        </w:rPr>
        <w:t>‘</w:t>
      </w:r>
      <w:r>
        <w:rPr>
          <w:rFonts w:ascii="Calibri" w:hAnsi="Calibri"/>
        </w:rPr>
        <w:t>équité, l</w:t>
      </w:r>
      <w:r w:rsidR="00B03DBE">
        <w:rPr>
          <w:rFonts w:ascii="Calibri" w:hAnsi="Calibri"/>
        </w:rPr>
        <w:t>‘</w:t>
      </w:r>
      <w:r>
        <w:rPr>
          <w:rFonts w:ascii="Calibri" w:hAnsi="Calibri"/>
        </w:rPr>
        <w:t>intégrité et la transparence</w:t>
      </w:r>
    </w:p>
    <w:p w14:paraId="319A548B" w14:textId="77777777" w:rsidR="00EF5830" w:rsidRPr="00233F6F" w:rsidRDefault="00EF5830">
      <w:pPr>
        <w:shd w:val="clear" w:color="auto" w:fill="FFFFFF"/>
        <w:spacing w:after="0" w:line="240" w:lineRule="auto"/>
        <w:ind w:left="1080"/>
        <w:textAlignment w:val="top"/>
        <w:rPr>
          <w:rFonts w:ascii="Calibri" w:eastAsia="Times New Roman" w:hAnsi="Calibri" w:cs="Arial"/>
        </w:rPr>
      </w:pPr>
    </w:p>
    <w:p w14:paraId="08AA14D1" w14:textId="77777777" w:rsidR="00F76234" w:rsidRPr="007E161B" w:rsidRDefault="004D631C" w:rsidP="00F76234">
      <w:pPr>
        <w:pStyle w:val="ListParagraph"/>
        <w:numPr>
          <w:ilvl w:val="0"/>
          <w:numId w:val="20"/>
        </w:numPr>
        <w:shd w:val="clear" w:color="auto" w:fill="FFFFFF"/>
        <w:spacing w:after="0" w:line="240" w:lineRule="auto"/>
        <w:ind w:left="1440"/>
        <w:textAlignment w:val="top"/>
        <w:rPr>
          <w:rFonts w:ascii="Calibri" w:eastAsia="Times New Roman" w:hAnsi="Calibri" w:cs="Arial"/>
        </w:rPr>
      </w:pPr>
      <w:r>
        <w:rPr>
          <w:rFonts w:ascii="Calibri" w:hAnsi="Calibri"/>
        </w:rPr>
        <w:t>La mise en concurrence internationale effective</w:t>
      </w:r>
    </w:p>
    <w:p w14:paraId="7FED51DD" w14:textId="77777777" w:rsidR="00F76234" w:rsidRPr="00233F6F" w:rsidRDefault="00F76234" w:rsidP="00F76234">
      <w:pPr>
        <w:pStyle w:val="ListParagraph"/>
        <w:shd w:val="clear" w:color="auto" w:fill="FFFFFF"/>
        <w:spacing w:after="0" w:line="240" w:lineRule="auto"/>
        <w:ind w:left="1440"/>
        <w:textAlignment w:val="top"/>
        <w:rPr>
          <w:rFonts w:ascii="Calibri" w:eastAsia="Times New Roman" w:hAnsi="Calibri" w:cs="Arial"/>
        </w:rPr>
      </w:pPr>
    </w:p>
    <w:p w14:paraId="4E6A977A" w14:textId="77777777" w:rsidR="00F76234" w:rsidRPr="007E161B" w:rsidRDefault="004D631C" w:rsidP="00F76234">
      <w:pPr>
        <w:pStyle w:val="ListParagraph"/>
        <w:numPr>
          <w:ilvl w:val="0"/>
          <w:numId w:val="20"/>
        </w:numPr>
        <w:shd w:val="clear" w:color="auto" w:fill="FFFFFF"/>
        <w:spacing w:after="0" w:line="240" w:lineRule="auto"/>
        <w:ind w:left="1440"/>
        <w:textAlignment w:val="top"/>
        <w:rPr>
          <w:rFonts w:ascii="Calibri" w:eastAsia="Times New Roman" w:hAnsi="Calibri" w:cs="Arial"/>
        </w:rPr>
      </w:pPr>
      <w:r>
        <w:rPr>
          <w:rFonts w:ascii="Calibri" w:hAnsi="Calibri"/>
        </w:rPr>
        <w:t>L</w:t>
      </w:r>
      <w:r w:rsidR="00B03DBE">
        <w:rPr>
          <w:rFonts w:ascii="Calibri" w:hAnsi="Calibri"/>
        </w:rPr>
        <w:t>‘</w:t>
      </w:r>
      <w:r>
        <w:rPr>
          <w:rFonts w:ascii="Calibri" w:hAnsi="Calibri"/>
        </w:rPr>
        <w:t>intérêt du PNUD</w:t>
      </w:r>
    </w:p>
    <w:p w14:paraId="6A41F776" w14:textId="77777777" w:rsidR="00F76234" w:rsidRPr="007E161B" w:rsidRDefault="00F76234" w:rsidP="00F76234">
      <w:pPr>
        <w:pStyle w:val="ListParagraph"/>
        <w:shd w:val="clear" w:color="auto" w:fill="FFFFFF"/>
        <w:spacing w:after="0" w:line="240" w:lineRule="auto"/>
        <w:ind w:left="1440"/>
        <w:textAlignment w:val="top"/>
        <w:rPr>
          <w:rFonts w:ascii="Calibri" w:eastAsia="Times New Roman" w:hAnsi="Calibri" w:cs="Arial"/>
          <w:lang w:val="en-US"/>
        </w:rPr>
      </w:pPr>
    </w:p>
    <w:p w14:paraId="06F26C14" w14:textId="5A510A8F" w:rsidR="005E420F" w:rsidRPr="00233F6F" w:rsidRDefault="001052B5" w:rsidP="00453F0A">
      <w:pPr>
        <w:pStyle w:val="ListParagraph"/>
        <w:numPr>
          <w:ilvl w:val="0"/>
          <w:numId w:val="19"/>
        </w:numPr>
        <w:shd w:val="clear" w:color="auto" w:fill="FFFFFF"/>
        <w:spacing w:before="240" w:after="0" w:line="240" w:lineRule="auto"/>
        <w:jc w:val="both"/>
        <w:textAlignment w:val="top"/>
        <w:rPr>
          <w:rFonts w:ascii="Calibri" w:eastAsia="Times New Roman" w:hAnsi="Calibri" w:cs="Arial"/>
        </w:rPr>
      </w:pPr>
      <w:r w:rsidRPr="00233F6F">
        <w:rPr>
          <w:rFonts w:ascii="Calibri" w:hAnsi="Calibri"/>
        </w:rPr>
        <w:t>En tant qu</w:t>
      </w:r>
      <w:r w:rsidR="00B03DBE" w:rsidRPr="00233F6F">
        <w:rPr>
          <w:rFonts w:ascii="Calibri" w:hAnsi="Calibri"/>
        </w:rPr>
        <w:t>‘</w:t>
      </w:r>
      <w:r w:rsidRPr="00233F6F">
        <w:rPr>
          <w:rFonts w:ascii="Calibri" w:hAnsi="Calibri"/>
        </w:rPr>
        <w:t>entité des Nations Unies, les fonds du PNUD sont confiés à l</w:t>
      </w:r>
      <w:r w:rsidR="00B03DBE" w:rsidRPr="00233F6F">
        <w:rPr>
          <w:rFonts w:ascii="Calibri" w:hAnsi="Calibri"/>
        </w:rPr>
        <w:t>‘</w:t>
      </w:r>
      <w:r w:rsidRPr="00233F6F">
        <w:rPr>
          <w:rFonts w:ascii="Calibri" w:hAnsi="Calibri"/>
        </w:rPr>
        <w:t>organisation par le grand public. Toutes les transactions d</w:t>
      </w:r>
      <w:r w:rsidR="00B03DBE" w:rsidRPr="00233F6F">
        <w:rPr>
          <w:rFonts w:ascii="Calibri" w:hAnsi="Calibri"/>
        </w:rPr>
        <w:t>‘</w:t>
      </w:r>
      <w:r w:rsidRPr="00233F6F">
        <w:rPr>
          <w:rFonts w:ascii="Calibri" w:hAnsi="Calibri"/>
        </w:rPr>
        <w:t>approvisionnement doivent être exécutées selon des normes irréprochables pour maintenir la plus grande confiance du public</w:t>
      </w:r>
      <w:r w:rsidR="00233F6F">
        <w:rPr>
          <w:rFonts w:ascii="Calibri" w:hAnsi="Calibri"/>
        </w:rPr>
        <w:t xml:space="preserve">. </w:t>
      </w:r>
      <w:r w:rsidR="009B4774" w:rsidRPr="00233F6F">
        <w:rPr>
          <w:rFonts w:ascii="Calibri" w:hAnsi="Calibri"/>
          <w:vanish/>
        </w:rPr>
        <w:t xml:space="preserve">Lorsque </w:t>
      </w:r>
      <w:r w:rsidR="009B4774">
        <w:t xml:space="preserve">des </w:t>
      </w:r>
      <w:r w:rsidR="00EE0549">
        <w:t>actes de corruption et des pratiques frauduleuses se produisent, les dommages s</w:t>
      </w:r>
      <w:r w:rsidR="00B03DBE">
        <w:t>’</w:t>
      </w:r>
      <w:r w:rsidR="00EE0549">
        <w:t>étendent bien au-delà des pertes financières, ce qui menace sérieusement la capacité du PNUD à atteindre ses objectifs opérationnels et programmatiques, et sa crédibilité en tant que partenaire fiable et efficace.</w:t>
      </w:r>
    </w:p>
    <w:p w14:paraId="2D13592E" w14:textId="77777777" w:rsidR="00233F6F" w:rsidRPr="00233F6F" w:rsidRDefault="00233F6F" w:rsidP="00233F6F">
      <w:pPr>
        <w:pStyle w:val="ListParagraph"/>
        <w:shd w:val="clear" w:color="auto" w:fill="FFFFFF"/>
        <w:spacing w:before="240" w:after="0" w:line="240" w:lineRule="auto"/>
        <w:jc w:val="both"/>
        <w:textAlignment w:val="top"/>
        <w:rPr>
          <w:rFonts w:ascii="Calibri" w:eastAsia="Times New Roman" w:hAnsi="Calibri" w:cs="Arial"/>
        </w:rPr>
      </w:pPr>
    </w:p>
    <w:p w14:paraId="1D28DCD6" w14:textId="77777777" w:rsidR="00E02075" w:rsidRPr="007E161B" w:rsidRDefault="00A8008E" w:rsidP="005E420F">
      <w:pPr>
        <w:pStyle w:val="ListParagraph"/>
        <w:numPr>
          <w:ilvl w:val="0"/>
          <w:numId w:val="19"/>
        </w:numPr>
        <w:shd w:val="clear" w:color="auto" w:fill="FFFFFF"/>
        <w:spacing w:before="240" w:after="0" w:line="240" w:lineRule="auto"/>
        <w:jc w:val="both"/>
        <w:textAlignment w:val="top"/>
        <w:rPr>
          <w:rFonts w:ascii="Calibri" w:eastAsia="Times New Roman" w:hAnsi="Calibri" w:cs="Arial"/>
        </w:rPr>
      </w:pPr>
      <w:r>
        <w:rPr>
          <w:rFonts w:ascii="Calibri" w:hAnsi="Calibri"/>
        </w:rPr>
        <w:t xml:space="preserve">Conformément aux Normes de conduite des Nations Unies, le personnel du PNUD doit être conscient de tous les risques de fraude et de corruption </w:t>
      </w:r>
      <w:r w:rsidR="009B4774">
        <w:rPr>
          <w:rFonts w:ascii="Calibri" w:hAnsi="Calibri"/>
        </w:rPr>
        <w:t>en matière d</w:t>
      </w:r>
      <w:r w:rsidR="00B03DBE">
        <w:rPr>
          <w:rFonts w:ascii="Calibri" w:hAnsi="Calibri"/>
        </w:rPr>
        <w:t>’</w:t>
      </w:r>
      <w:r w:rsidR="009B4774">
        <w:rPr>
          <w:rFonts w:ascii="Calibri" w:hAnsi="Calibri"/>
        </w:rPr>
        <w:t>approvisionnement</w:t>
      </w:r>
      <w:r>
        <w:rPr>
          <w:rFonts w:ascii="Calibri" w:hAnsi="Calibri"/>
        </w:rPr>
        <w:t xml:space="preserve">. Cette politique guide la prévention de ces pratiques, ainsi que leur </w:t>
      </w:r>
      <w:r w:rsidR="009B4774">
        <w:rPr>
          <w:rFonts w:ascii="Calibri" w:hAnsi="Calibri"/>
        </w:rPr>
        <w:t xml:space="preserve">détermination, </w:t>
      </w:r>
      <w:r>
        <w:rPr>
          <w:rFonts w:ascii="Calibri" w:hAnsi="Calibri"/>
        </w:rPr>
        <w:t>et la gestion des réponses appropriées. Une attention particulière doit être portée aux situations d</w:t>
      </w:r>
      <w:r w:rsidR="00B03DBE">
        <w:rPr>
          <w:rFonts w:ascii="Calibri" w:hAnsi="Calibri"/>
        </w:rPr>
        <w:t>‘</w:t>
      </w:r>
      <w:r>
        <w:rPr>
          <w:rFonts w:ascii="Calibri" w:hAnsi="Calibri"/>
        </w:rPr>
        <w:t>urgence où les pressions pour obtenir des résultats rapides peuvent augmenter les risques de fraude ou de corruption.</w:t>
      </w:r>
    </w:p>
    <w:p w14:paraId="43ACBF9B" w14:textId="77777777" w:rsidR="005E420F" w:rsidRPr="00233F6F" w:rsidRDefault="005E420F" w:rsidP="005E420F">
      <w:pPr>
        <w:pStyle w:val="ListParagraph"/>
        <w:shd w:val="clear" w:color="auto" w:fill="FFFFFF"/>
        <w:spacing w:after="0" w:line="240" w:lineRule="auto"/>
        <w:jc w:val="both"/>
        <w:textAlignment w:val="top"/>
        <w:rPr>
          <w:rFonts w:ascii="Calibri" w:eastAsia="Times New Roman" w:hAnsi="Calibri" w:cs="Arial"/>
        </w:rPr>
      </w:pPr>
    </w:p>
    <w:p w14:paraId="553F6A2F" w14:textId="77777777" w:rsidR="005E420F" w:rsidRPr="007E161B" w:rsidRDefault="00007A13" w:rsidP="00816F41">
      <w:pPr>
        <w:pStyle w:val="ListParagraph"/>
        <w:numPr>
          <w:ilvl w:val="0"/>
          <w:numId w:val="19"/>
        </w:numPr>
        <w:shd w:val="clear" w:color="auto" w:fill="FFFFFF"/>
        <w:spacing w:after="0" w:line="240" w:lineRule="auto"/>
        <w:jc w:val="both"/>
        <w:textAlignment w:val="top"/>
        <w:rPr>
          <w:rFonts w:ascii="Calibri" w:eastAsia="Times New Roman" w:hAnsi="Calibri" w:cs="Arial"/>
        </w:rPr>
      </w:pPr>
      <w:bookmarkStart w:id="0" w:name="RelevantPolicies"/>
      <w:bookmarkEnd w:id="0"/>
      <w:r>
        <w:rPr>
          <w:rFonts w:ascii="Calibri" w:hAnsi="Calibri"/>
        </w:rPr>
        <w:t xml:space="preserve">Le PNUD, pour se conformer aux </w:t>
      </w:r>
      <w:r w:rsidR="009B4774">
        <w:rPr>
          <w:rFonts w:ascii="Calibri" w:hAnsi="Calibri"/>
        </w:rPr>
        <w:t>N</w:t>
      </w:r>
      <w:r>
        <w:rPr>
          <w:rFonts w:ascii="Calibri" w:hAnsi="Calibri"/>
        </w:rPr>
        <w:t xml:space="preserve">ormes de conduite des Nations Unies, doit respecter les </w:t>
      </w:r>
      <w:r w:rsidR="00F716DB">
        <w:rPr>
          <w:rFonts w:ascii="Calibri" w:hAnsi="Calibri"/>
        </w:rPr>
        <w:t xml:space="preserve">normes </w:t>
      </w:r>
      <w:r>
        <w:rPr>
          <w:rFonts w:ascii="Calibri" w:hAnsi="Calibri"/>
        </w:rPr>
        <w:t>de déontologie les plus strictes tout au long du processus d</w:t>
      </w:r>
      <w:r w:rsidR="00B03DBE">
        <w:rPr>
          <w:rFonts w:ascii="Calibri" w:hAnsi="Calibri"/>
        </w:rPr>
        <w:t>‘</w:t>
      </w:r>
      <w:r>
        <w:rPr>
          <w:rFonts w:ascii="Calibri" w:hAnsi="Calibri"/>
        </w:rPr>
        <w:t>approvisionnement. Le processus doit permettre à tous les soumissionnaires de concourir sur une base juste, équitable et transparente. Tout le personnel associé aux approvisionnements est responsable de la protection de l</w:t>
      </w:r>
      <w:r w:rsidR="00B03DBE">
        <w:rPr>
          <w:rFonts w:ascii="Calibri" w:hAnsi="Calibri"/>
        </w:rPr>
        <w:t>‘</w:t>
      </w:r>
      <w:r>
        <w:rPr>
          <w:rFonts w:ascii="Calibri" w:hAnsi="Calibri"/>
        </w:rPr>
        <w:t>intégrité et de l</w:t>
      </w:r>
      <w:r w:rsidR="00B03DBE">
        <w:rPr>
          <w:rFonts w:ascii="Calibri" w:hAnsi="Calibri"/>
        </w:rPr>
        <w:t>‘</w:t>
      </w:r>
      <w:r>
        <w:rPr>
          <w:rFonts w:ascii="Calibri" w:hAnsi="Calibri"/>
        </w:rPr>
        <w:t>équité du processus.</w:t>
      </w:r>
    </w:p>
    <w:p w14:paraId="7CD974D9" w14:textId="77777777" w:rsidR="005E420F" w:rsidRPr="00233F6F" w:rsidRDefault="005E420F" w:rsidP="005E420F">
      <w:pPr>
        <w:pStyle w:val="ListParagraph"/>
        <w:rPr>
          <w:rFonts w:ascii="Calibri" w:eastAsia="Times New Roman" w:hAnsi="Calibri" w:cs="Arial"/>
        </w:rPr>
      </w:pPr>
    </w:p>
    <w:p w14:paraId="3D6498A0" w14:textId="77777777" w:rsidR="005E420F" w:rsidRPr="007E161B" w:rsidRDefault="00C46B39" w:rsidP="005E420F">
      <w:pPr>
        <w:pStyle w:val="ListParagraph"/>
        <w:numPr>
          <w:ilvl w:val="0"/>
          <w:numId w:val="19"/>
        </w:numPr>
        <w:shd w:val="clear" w:color="auto" w:fill="FFFFFF"/>
        <w:spacing w:after="0" w:line="240" w:lineRule="auto"/>
        <w:jc w:val="both"/>
        <w:textAlignment w:val="top"/>
        <w:rPr>
          <w:rFonts w:ascii="Calibri" w:eastAsia="Times New Roman" w:hAnsi="Calibri" w:cs="Arial"/>
        </w:rPr>
      </w:pPr>
      <w:r>
        <w:rPr>
          <w:rFonts w:ascii="Calibri" w:hAnsi="Calibri"/>
        </w:rPr>
        <w:t>Avant l</w:t>
      </w:r>
      <w:r w:rsidR="00B03DBE">
        <w:rPr>
          <w:rFonts w:ascii="Calibri" w:hAnsi="Calibri"/>
        </w:rPr>
        <w:t>’</w:t>
      </w:r>
      <w:r>
        <w:rPr>
          <w:rFonts w:ascii="Calibri" w:hAnsi="Calibri"/>
        </w:rPr>
        <w:t xml:space="preserve">ouverture de </w:t>
      </w:r>
      <w:r w:rsidR="009E24DC">
        <w:rPr>
          <w:rFonts w:ascii="Calibri" w:hAnsi="Calibri"/>
        </w:rPr>
        <w:t>l’appel à la concurrence</w:t>
      </w:r>
      <w:r>
        <w:rPr>
          <w:rFonts w:ascii="Calibri" w:hAnsi="Calibri"/>
        </w:rPr>
        <w:t>, le personnel ne doit pas permettre aux candidats d</w:t>
      </w:r>
      <w:r w:rsidR="00B03DBE">
        <w:rPr>
          <w:rFonts w:ascii="Calibri" w:hAnsi="Calibri"/>
        </w:rPr>
        <w:t>‘</w:t>
      </w:r>
      <w:r>
        <w:rPr>
          <w:rFonts w:ascii="Calibri" w:hAnsi="Calibri"/>
        </w:rPr>
        <w:t>avoir accès à l</w:t>
      </w:r>
      <w:r w:rsidR="00B03DBE">
        <w:rPr>
          <w:rFonts w:ascii="Calibri" w:hAnsi="Calibri"/>
        </w:rPr>
        <w:t>‘</w:t>
      </w:r>
      <w:r>
        <w:rPr>
          <w:rFonts w:ascii="Calibri" w:hAnsi="Calibri"/>
        </w:rPr>
        <w:t>information technique, financière ou autre, avant qu</w:t>
      </w:r>
      <w:r w:rsidR="00B03DBE">
        <w:rPr>
          <w:rFonts w:ascii="Calibri" w:hAnsi="Calibri"/>
        </w:rPr>
        <w:t>’</w:t>
      </w:r>
      <w:r>
        <w:rPr>
          <w:rFonts w:ascii="Calibri" w:hAnsi="Calibri"/>
        </w:rPr>
        <w:t>elle ne soit accessible au public. Le personnel ne doit pas utiliser des spécifications, des cahiers des charges, ou des termes de référence restrictifs inutiles qui pourraient décourager la concurrence. Le personnel ne peut divulguer, directement ou indirectement, des informations exclusives et des renseignements sur la sélection des fournisseurs, à des personnes autres que celles autorisées à recevoir des informations à tout moment avant ou après le processus de sélection et de passation des marchés.</w:t>
      </w:r>
    </w:p>
    <w:p w14:paraId="57400C43" w14:textId="77777777" w:rsidR="005E420F" w:rsidRPr="00233F6F" w:rsidRDefault="005E420F" w:rsidP="005E420F">
      <w:pPr>
        <w:pStyle w:val="ListParagraph"/>
        <w:rPr>
          <w:rFonts w:ascii="Calibri" w:eastAsia="Times New Roman" w:hAnsi="Calibri" w:cs="Arial"/>
        </w:rPr>
      </w:pPr>
    </w:p>
    <w:p w14:paraId="4F2353E2" w14:textId="411D5CB4" w:rsidR="005E420F" w:rsidRPr="007E161B" w:rsidRDefault="00B11320" w:rsidP="0023369E">
      <w:pPr>
        <w:pStyle w:val="ListParagraph"/>
        <w:numPr>
          <w:ilvl w:val="0"/>
          <w:numId w:val="27"/>
        </w:numPr>
        <w:shd w:val="clear" w:color="auto" w:fill="FFFFFF"/>
        <w:spacing w:after="0" w:line="240" w:lineRule="auto"/>
        <w:jc w:val="both"/>
        <w:textAlignment w:val="top"/>
        <w:rPr>
          <w:rFonts w:ascii="Calibri" w:eastAsia="Times New Roman" w:hAnsi="Calibri" w:cs="Arial"/>
        </w:rPr>
      </w:pPr>
      <w:r>
        <w:rPr>
          <w:rFonts w:ascii="Calibri" w:hAnsi="Calibri"/>
        </w:rPr>
        <w:t>Afin d</w:t>
      </w:r>
      <w:r w:rsidR="00B03DBE">
        <w:rPr>
          <w:rFonts w:ascii="Calibri" w:hAnsi="Calibri"/>
        </w:rPr>
        <w:t>‘</w:t>
      </w:r>
      <w:r>
        <w:rPr>
          <w:rFonts w:ascii="Calibri" w:hAnsi="Calibri"/>
        </w:rPr>
        <w:t>éviter tout conflit d</w:t>
      </w:r>
      <w:r w:rsidR="00B03DBE">
        <w:rPr>
          <w:rFonts w:ascii="Calibri" w:hAnsi="Calibri"/>
        </w:rPr>
        <w:t>‘</w:t>
      </w:r>
      <w:r>
        <w:rPr>
          <w:rFonts w:ascii="Calibri" w:hAnsi="Calibri"/>
        </w:rPr>
        <w:t xml:space="preserve">intérêts, </w:t>
      </w:r>
      <w:r w:rsidR="00C7330B">
        <w:rPr>
          <w:rFonts w:ascii="Calibri" w:hAnsi="Calibri"/>
        </w:rPr>
        <w:t xml:space="preserve">il est interdit pour </w:t>
      </w:r>
      <w:r>
        <w:rPr>
          <w:rFonts w:ascii="Calibri" w:hAnsi="Calibri"/>
        </w:rPr>
        <w:t>un membre du personnel ayant un intérêt financier avec un soumissionnaire</w:t>
      </w:r>
      <w:r w:rsidR="00C7330B">
        <w:rPr>
          <w:rFonts w:ascii="Calibri" w:hAnsi="Calibri"/>
        </w:rPr>
        <w:t xml:space="preserve"> </w:t>
      </w:r>
      <w:r>
        <w:rPr>
          <w:rFonts w:ascii="Calibri" w:hAnsi="Calibri"/>
        </w:rPr>
        <w:t>de participer au processus d</w:t>
      </w:r>
      <w:r w:rsidR="00B03DBE">
        <w:rPr>
          <w:rFonts w:ascii="Calibri" w:hAnsi="Calibri"/>
        </w:rPr>
        <w:t>‘</w:t>
      </w:r>
      <w:r>
        <w:rPr>
          <w:rFonts w:ascii="Calibri" w:hAnsi="Calibri"/>
        </w:rPr>
        <w:t xml:space="preserve">approvisionnement. </w:t>
      </w:r>
      <w:r w:rsidR="00C802B7">
        <w:rPr>
          <w:rFonts w:ascii="Calibri" w:hAnsi="Calibri"/>
        </w:rPr>
        <w:t xml:space="preserve">Le </w:t>
      </w:r>
      <w:r w:rsidR="00C802B7">
        <w:rPr>
          <w:rFonts w:ascii="Calibri" w:hAnsi="Calibri"/>
        </w:rPr>
        <w:lastRenderedPageBreak/>
        <w:t>terme « i</w:t>
      </w:r>
      <w:r>
        <w:rPr>
          <w:rFonts w:ascii="Calibri" w:hAnsi="Calibri"/>
        </w:rPr>
        <w:t>ntérêt financier</w:t>
      </w:r>
      <w:r w:rsidR="00C802B7">
        <w:rPr>
          <w:rFonts w:ascii="Calibri" w:hAnsi="Calibri"/>
        </w:rPr>
        <w:t> »</w:t>
      </w:r>
      <w:r>
        <w:rPr>
          <w:rFonts w:ascii="Calibri" w:hAnsi="Calibri"/>
        </w:rPr>
        <w:t xml:space="preserve"> désigne tout élément de valeur monétaire, y compris, </w:t>
      </w:r>
      <w:r w:rsidR="00C802B7">
        <w:rPr>
          <w:rFonts w:ascii="Calibri" w:hAnsi="Calibri"/>
        </w:rPr>
        <w:t>sans toutefois</w:t>
      </w:r>
      <w:r>
        <w:rPr>
          <w:rFonts w:ascii="Calibri" w:hAnsi="Calibri"/>
        </w:rPr>
        <w:t xml:space="preserve"> s</w:t>
      </w:r>
      <w:r w:rsidR="00B03DBE">
        <w:rPr>
          <w:rFonts w:ascii="Calibri" w:hAnsi="Calibri"/>
        </w:rPr>
        <w:t>’</w:t>
      </w:r>
      <w:r>
        <w:rPr>
          <w:rFonts w:ascii="Calibri" w:hAnsi="Calibri"/>
        </w:rPr>
        <w:t>y limiter, une participation dans une entreprise sous forme d</w:t>
      </w:r>
      <w:r w:rsidR="00B03DBE">
        <w:rPr>
          <w:rFonts w:ascii="Calibri" w:hAnsi="Calibri"/>
        </w:rPr>
        <w:t>‘</w:t>
      </w:r>
      <w:r>
        <w:rPr>
          <w:rFonts w:ascii="Calibri" w:hAnsi="Calibri"/>
        </w:rPr>
        <w:t>actions, d</w:t>
      </w:r>
      <w:r w:rsidR="00B03DBE">
        <w:rPr>
          <w:rFonts w:ascii="Calibri" w:hAnsi="Calibri"/>
        </w:rPr>
        <w:t>‘</w:t>
      </w:r>
      <w:r>
        <w:rPr>
          <w:rFonts w:ascii="Calibri" w:hAnsi="Calibri"/>
        </w:rPr>
        <w:t>options d</w:t>
      </w:r>
      <w:r w:rsidR="00B03DBE">
        <w:rPr>
          <w:rFonts w:ascii="Calibri" w:hAnsi="Calibri"/>
        </w:rPr>
        <w:t>‘</w:t>
      </w:r>
      <w:r>
        <w:rPr>
          <w:rFonts w:ascii="Calibri" w:hAnsi="Calibri"/>
        </w:rPr>
        <w:t>achat d</w:t>
      </w:r>
      <w:r w:rsidR="00B03DBE">
        <w:rPr>
          <w:rFonts w:ascii="Calibri" w:hAnsi="Calibri"/>
        </w:rPr>
        <w:t>‘</w:t>
      </w:r>
      <w:r>
        <w:rPr>
          <w:rFonts w:ascii="Calibri" w:hAnsi="Calibri"/>
        </w:rPr>
        <w:t>actions ou de titres de propriété similaires, mais à l</w:t>
      </w:r>
      <w:r w:rsidR="00B03DBE">
        <w:rPr>
          <w:rFonts w:ascii="Calibri" w:hAnsi="Calibri"/>
        </w:rPr>
        <w:t>‘</w:t>
      </w:r>
      <w:r>
        <w:rPr>
          <w:rFonts w:ascii="Calibri" w:hAnsi="Calibri"/>
        </w:rPr>
        <w:t>exclusion de tout intérêt provenant uniquement d</w:t>
      </w:r>
      <w:r w:rsidR="00B03DBE">
        <w:rPr>
          <w:rFonts w:ascii="Calibri" w:hAnsi="Calibri"/>
        </w:rPr>
        <w:t>‘</w:t>
      </w:r>
      <w:r>
        <w:rPr>
          <w:rFonts w:ascii="Calibri" w:hAnsi="Calibri"/>
        </w:rPr>
        <w:t>un investissement dans cette entreprise par un fonds de placement mutuel, de pension ou institutionnel sur lequel le membre du personnel n</w:t>
      </w:r>
      <w:r w:rsidR="00B03DBE">
        <w:rPr>
          <w:rFonts w:ascii="Calibri" w:hAnsi="Calibri"/>
        </w:rPr>
        <w:t>‘</w:t>
      </w:r>
      <w:r>
        <w:rPr>
          <w:rFonts w:ascii="Calibri" w:hAnsi="Calibri"/>
        </w:rPr>
        <w:t>exerce pas de contrôle. Les intérêts financiers peuvent également comprendre la réception ou le droit de recevoir des revenus sous une ou plusieurs des formes suivantes</w:t>
      </w:r>
      <w:r w:rsidR="00B208A8">
        <w:rPr>
          <w:rFonts w:ascii="Calibri" w:hAnsi="Calibri"/>
        </w:rPr>
        <w:t> </w:t>
      </w:r>
      <w:r>
        <w:rPr>
          <w:rFonts w:ascii="Calibri" w:hAnsi="Calibri"/>
        </w:rPr>
        <w:t>: honoraires de consultation, honoraires, salaire</w:t>
      </w:r>
      <w:r w:rsidR="00B208A8">
        <w:rPr>
          <w:rFonts w:ascii="Calibri" w:hAnsi="Calibri"/>
        </w:rPr>
        <w:t>s</w:t>
      </w:r>
      <w:r>
        <w:rPr>
          <w:rFonts w:ascii="Calibri" w:hAnsi="Calibri"/>
        </w:rPr>
        <w:t>, indemnité</w:t>
      </w:r>
      <w:r w:rsidR="00B208A8">
        <w:rPr>
          <w:rFonts w:ascii="Calibri" w:hAnsi="Calibri"/>
        </w:rPr>
        <w:t>s</w:t>
      </w:r>
      <w:r>
        <w:rPr>
          <w:rFonts w:ascii="Calibri" w:hAnsi="Calibri"/>
        </w:rPr>
        <w:t>, allocation</w:t>
      </w:r>
      <w:r w:rsidR="00B208A8">
        <w:rPr>
          <w:rFonts w:ascii="Calibri" w:hAnsi="Calibri"/>
        </w:rPr>
        <w:t>s</w:t>
      </w:r>
      <w:r>
        <w:rPr>
          <w:rFonts w:ascii="Calibri" w:hAnsi="Calibri"/>
        </w:rPr>
        <w:t>, renonciation</w:t>
      </w:r>
      <w:r w:rsidR="00B208A8">
        <w:rPr>
          <w:rFonts w:ascii="Calibri" w:hAnsi="Calibri"/>
        </w:rPr>
        <w:t>s</w:t>
      </w:r>
      <w:r>
        <w:rPr>
          <w:rFonts w:ascii="Calibri" w:hAnsi="Calibri"/>
        </w:rPr>
        <w:t>, remise</w:t>
      </w:r>
      <w:r w:rsidR="00B208A8">
        <w:rPr>
          <w:rFonts w:ascii="Calibri" w:hAnsi="Calibri"/>
        </w:rPr>
        <w:t>s</w:t>
      </w:r>
      <w:r>
        <w:rPr>
          <w:rFonts w:ascii="Calibri" w:hAnsi="Calibri"/>
        </w:rPr>
        <w:t xml:space="preserve"> de dette</w:t>
      </w:r>
      <w:r w:rsidR="00B208A8">
        <w:rPr>
          <w:rFonts w:ascii="Calibri" w:hAnsi="Calibri"/>
        </w:rPr>
        <w:t>s</w:t>
      </w:r>
      <w:r>
        <w:rPr>
          <w:rFonts w:ascii="Calibri" w:hAnsi="Calibri"/>
        </w:rPr>
        <w:t>, intérêts dans des biens mobiliers ou immobiliers, dividendes, redevance</w:t>
      </w:r>
      <w:r w:rsidR="00B208A8">
        <w:rPr>
          <w:rFonts w:ascii="Calibri" w:hAnsi="Calibri"/>
        </w:rPr>
        <w:t>s</w:t>
      </w:r>
      <w:r>
        <w:rPr>
          <w:rFonts w:ascii="Calibri" w:hAnsi="Calibri"/>
        </w:rPr>
        <w:t xml:space="preserve"> dérivée</w:t>
      </w:r>
      <w:r w:rsidR="00B208A8">
        <w:rPr>
          <w:rFonts w:ascii="Calibri" w:hAnsi="Calibri"/>
        </w:rPr>
        <w:t>s</w:t>
      </w:r>
      <w:r>
        <w:rPr>
          <w:rFonts w:ascii="Calibri" w:hAnsi="Calibri"/>
        </w:rPr>
        <w:t xml:space="preserve"> de l</w:t>
      </w:r>
      <w:r w:rsidR="00B03DBE">
        <w:rPr>
          <w:rFonts w:ascii="Calibri" w:hAnsi="Calibri"/>
        </w:rPr>
        <w:t>‘</w:t>
      </w:r>
      <w:r>
        <w:rPr>
          <w:rFonts w:ascii="Calibri" w:hAnsi="Calibri"/>
        </w:rPr>
        <w:t>octroi de licences de technologie ou d</w:t>
      </w:r>
      <w:r w:rsidR="00B03DBE">
        <w:rPr>
          <w:rFonts w:ascii="Calibri" w:hAnsi="Calibri"/>
        </w:rPr>
        <w:t>‘</w:t>
      </w:r>
      <w:r>
        <w:rPr>
          <w:rFonts w:ascii="Calibri" w:hAnsi="Calibri"/>
        </w:rPr>
        <w:t>autres procédés ou produits, loyer ou gain en capital.</w:t>
      </w:r>
    </w:p>
    <w:p w14:paraId="1955F45F" w14:textId="77777777" w:rsidR="005E420F" w:rsidRPr="00233F6F" w:rsidRDefault="005E420F" w:rsidP="005E420F">
      <w:pPr>
        <w:pStyle w:val="ListParagraph"/>
        <w:rPr>
          <w:rFonts w:ascii="Calibri" w:eastAsia="Times New Roman" w:hAnsi="Calibri" w:cs="Arial"/>
        </w:rPr>
      </w:pPr>
    </w:p>
    <w:p w14:paraId="118CB03D" w14:textId="56F8159B" w:rsidR="005E420F" w:rsidRPr="007E161B" w:rsidRDefault="00C7330B" w:rsidP="00233F6F">
      <w:pPr>
        <w:pStyle w:val="ListParagraph"/>
        <w:numPr>
          <w:ilvl w:val="0"/>
          <w:numId w:val="27"/>
        </w:numPr>
        <w:shd w:val="clear" w:color="auto" w:fill="FFFFFF"/>
        <w:spacing w:after="0" w:line="240" w:lineRule="auto"/>
        <w:jc w:val="both"/>
        <w:textAlignment w:val="top"/>
        <w:rPr>
          <w:rFonts w:ascii="Calibri" w:eastAsia="Times New Roman" w:hAnsi="Calibri" w:cs="Arial"/>
        </w:rPr>
      </w:pPr>
      <w:r>
        <w:rPr>
          <w:rFonts w:ascii="Calibri" w:hAnsi="Calibri"/>
        </w:rPr>
        <w:t xml:space="preserve">Il est également interdit pour le </w:t>
      </w:r>
      <w:r w:rsidR="00007A13">
        <w:rPr>
          <w:rFonts w:ascii="Calibri" w:hAnsi="Calibri"/>
        </w:rPr>
        <w:t xml:space="preserve">personnel ayant des intérêts personnels ou professionnels chez un soumissionnaire </w:t>
      </w:r>
      <w:r w:rsidR="00233F6F">
        <w:rPr>
          <w:rFonts w:ascii="Calibri" w:hAnsi="Calibri"/>
        </w:rPr>
        <w:t xml:space="preserve">de </w:t>
      </w:r>
      <w:r w:rsidR="00007A13">
        <w:rPr>
          <w:rFonts w:ascii="Calibri" w:hAnsi="Calibri"/>
        </w:rPr>
        <w:t>participer au processus d</w:t>
      </w:r>
      <w:r w:rsidR="00B03DBE">
        <w:rPr>
          <w:rFonts w:ascii="Calibri" w:hAnsi="Calibri"/>
        </w:rPr>
        <w:t>‘</w:t>
      </w:r>
      <w:r w:rsidR="00007A13">
        <w:rPr>
          <w:rFonts w:ascii="Calibri" w:hAnsi="Calibri"/>
        </w:rPr>
        <w:t>approvisionnement. Les intérêts personnels ou professionnels comprennent, sans s</w:t>
      </w:r>
      <w:r w:rsidR="00B03DBE">
        <w:rPr>
          <w:rFonts w:ascii="Calibri" w:hAnsi="Calibri"/>
        </w:rPr>
        <w:t>’</w:t>
      </w:r>
      <w:r w:rsidR="00007A13">
        <w:rPr>
          <w:rFonts w:ascii="Calibri" w:hAnsi="Calibri"/>
        </w:rPr>
        <w:t>y limiter</w:t>
      </w:r>
      <w:r w:rsidR="00505C7A">
        <w:rPr>
          <w:rFonts w:ascii="Calibri" w:hAnsi="Calibri"/>
        </w:rPr>
        <w:t> </w:t>
      </w:r>
      <w:r w:rsidR="00007A13">
        <w:rPr>
          <w:rFonts w:ascii="Calibri" w:hAnsi="Calibri"/>
        </w:rPr>
        <w:t>: toute organisation ou entreprise sur laquelle le membre du personnel, seul ou avec un membre de sa famille immédiate (c</w:t>
      </w:r>
      <w:r w:rsidR="00B03DBE">
        <w:rPr>
          <w:rFonts w:ascii="Calibri" w:hAnsi="Calibri"/>
        </w:rPr>
        <w:t>‘</w:t>
      </w:r>
      <w:r w:rsidR="00007A13">
        <w:rPr>
          <w:rFonts w:ascii="Calibri" w:hAnsi="Calibri"/>
        </w:rPr>
        <w:t xml:space="preserve">est-à-dire son conjoint ou son partenaire et ses enfants à charge), exerce un contrôle. Ces intérêts comprennent également toute personne morale, société en nom collectif, entreprise individuelle, entreprise, franchise, association, organisation, société de portefeuille, société par actions, mise sous séquestre, société commerciale ou immobilière ou toute autre entité juridique non gouvernementale à but lucratif, </w:t>
      </w:r>
      <w:r w:rsidR="00505C7A">
        <w:rPr>
          <w:rFonts w:ascii="Calibri" w:hAnsi="Calibri"/>
        </w:rPr>
        <w:t xml:space="preserve">à </w:t>
      </w:r>
      <w:r w:rsidR="00007A13">
        <w:rPr>
          <w:rFonts w:ascii="Calibri" w:hAnsi="Calibri"/>
        </w:rPr>
        <w:t xml:space="preserve">but </w:t>
      </w:r>
      <w:r w:rsidR="00505C7A">
        <w:rPr>
          <w:rFonts w:ascii="Calibri" w:hAnsi="Calibri"/>
        </w:rPr>
        <w:t xml:space="preserve">non </w:t>
      </w:r>
      <w:r w:rsidR="00007A13">
        <w:rPr>
          <w:rFonts w:ascii="Calibri" w:hAnsi="Calibri"/>
        </w:rPr>
        <w:t>lucratif ou caritative</w:t>
      </w:r>
      <w:r w:rsidR="00505C7A">
        <w:rPr>
          <w:rFonts w:ascii="Calibri" w:hAnsi="Calibri"/>
        </w:rPr>
        <w:t> </w:t>
      </w:r>
      <w:r w:rsidR="00007A13">
        <w:rPr>
          <w:rFonts w:ascii="Calibri" w:hAnsi="Calibri"/>
        </w:rPr>
        <w:t>; ou tout poste de direction ou de membre du conseil d</w:t>
      </w:r>
      <w:r w:rsidR="00B03DBE">
        <w:rPr>
          <w:rFonts w:ascii="Calibri" w:hAnsi="Calibri"/>
        </w:rPr>
        <w:t>‘</w:t>
      </w:r>
      <w:r w:rsidR="00007A13">
        <w:rPr>
          <w:rFonts w:ascii="Calibri" w:hAnsi="Calibri"/>
        </w:rPr>
        <w:t xml:space="preserve">administration du soumissionnaire, </w:t>
      </w:r>
      <w:r w:rsidR="00505C7A">
        <w:rPr>
          <w:rFonts w:ascii="Calibri" w:hAnsi="Calibri"/>
        </w:rPr>
        <w:t>quelle que soit</w:t>
      </w:r>
      <w:r w:rsidR="00007A13">
        <w:rPr>
          <w:rFonts w:ascii="Calibri" w:hAnsi="Calibri"/>
        </w:rPr>
        <w:t xml:space="preserve"> la rémunération ; ou tout autre poste qui </w:t>
      </w:r>
      <w:r w:rsidR="00505C7A">
        <w:rPr>
          <w:rFonts w:ascii="Calibri" w:hAnsi="Calibri"/>
        </w:rPr>
        <w:t xml:space="preserve">comprend </w:t>
      </w:r>
      <w:r w:rsidR="00007A13">
        <w:rPr>
          <w:rFonts w:ascii="Calibri" w:hAnsi="Calibri"/>
        </w:rPr>
        <w:t xml:space="preserve">des responsabilités pour une </w:t>
      </w:r>
      <w:r w:rsidR="00505C7A">
        <w:rPr>
          <w:rFonts w:ascii="Calibri" w:hAnsi="Calibri"/>
        </w:rPr>
        <w:t xml:space="preserve">part </w:t>
      </w:r>
      <w:r w:rsidR="00007A13">
        <w:rPr>
          <w:rFonts w:ascii="Calibri" w:hAnsi="Calibri"/>
        </w:rPr>
        <w:t>importante du fonctionnement ou de la gestion d</w:t>
      </w:r>
      <w:r w:rsidR="00B03DBE">
        <w:rPr>
          <w:rFonts w:ascii="Calibri" w:hAnsi="Calibri"/>
        </w:rPr>
        <w:t>‘</w:t>
      </w:r>
      <w:r w:rsidR="00007A13">
        <w:rPr>
          <w:rFonts w:ascii="Calibri" w:hAnsi="Calibri"/>
        </w:rPr>
        <w:t>une entreprise.</w:t>
      </w:r>
    </w:p>
    <w:p w14:paraId="5D51D1D3" w14:textId="77777777" w:rsidR="005E420F" w:rsidRPr="00233F6F" w:rsidRDefault="005E420F" w:rsidP="005E420F">
      <w:pPr>
        <w:pStyle w:val="ListParagraph"/>
        <w:rPr>
          <w:rFonts w:ascii="Calibri" w:eastAsia="Times New Roman" w:hAnsi="Calibri" w:cs="Arial"/>
        </w:rPr>
      </w:pPr>
    </w:p>
    <w:p w14:paraId="26EB784D" w14:textId="77777777" w:rsidR="005E420F" w:rsidRPr="007E161B" w:rsidRDefault="000D6D62" w:rsidP="00233F6F">
      <w:pPr>
        <w:pStyle w:val="ListParagraph"/>
        <w:numPr>
          <w:ilvl w:val="0"/>
          <w:numId w:val="27"/>
        </w:numPr>
        <w:shd w:val="clear" w:color="auto" w:fill="FFFFFF"/>
        <w:spacing w:after="0" w:line="240" w:lineRule="auto"/>
        <w:jc w:val="both"/>
        <w:textAlignment w:val="top"/>
        <w:rPr>
          <w:rFonts w:ascii="Calibri" w:eastAsia="Times New Roman" w:hAnsi="Calibri" w:cs="Arial"/>
        </w:rPr>
      </w:pPr>
      <w:r>
        <w:rPr>
          <w:rFonts w:ascii="Calibri" w:hAnsi="Calibri"/>
        </w:rPr>
        <w:t>Tout membre du personnel chargé des achats qui entretient un conflit d</w:t>
      </w:r>
      <w:r w:rsidR="00B03DBE">
        <w:rPr>
          <w:rFonts w:ascii="Calibri" w:hAnsi="Calibri"/>
        </w:rPr>
        <w:t>‘</w:t>
      </w:r>
      <w:r>
        <w:rPr>
          <w:rFonts w:ascii="Calibri" w:hAnsi="Calibri"/>
        </w:rPr>
        <w:t xml:space="preserve">intérêts ou un conflit potentiel doit immédiatement en </w:t>
      </w:r>
      <w:r w:rsidR="00F90620">
        <w:rPr>
          <w:rFonts w:ascii="Calibri" w:hAnsi="Calibri"/>
        </w:rPr>
        <w:t>informer le R</w:t>
      </w:r>
      <w:r>
        <w:rPr>
          <w:rFonts w:ascii="Calibri" w:hAnsi="Calibri"/>
        </w:rPr>
        <w:t>eprésentant résident</w:t>
      </w:r>
      <w:r w:rsidR="00505C7A">
        <w:rPr>
          <w:rFonts w:ascii="Calibri" w:hAnsi="Calibri"/>
        </w:rPr>
        <w:t xml:space="preserve">, le </w:t>
      </w:r>
      <w:r w:rsidR="00F90620">
        <w:rPr>
          <w:rFonts w:ascii="Calibri" w:hAnsi="Calibri"/>
        </w:rPr>
        <w:t>Directeur de pays ou le C</w:t>
      </w:r>
      <w:r>
        <w:rPr>
          <w:rFonts w:ascii="Calibri" w:hAnsi="Calibri"/>
        </w:rPr>
        <w:t>hef de l</w:t>
      </w:r>
      <w:r w:rsidR="00B03DBE">
        <w:rPr>
          <w:rFonts w:ascii="Calibri" w:hAnsi="Calibri"/>
        </w:rPr>
        <w:t>‘</w:t>
      </w:r>
      <w:r w:rsidR="00F90620">
        <w:rPr>
          <w:rFonts w:ascii="Calibri" w:hAnsi="Calibri"/>
        </w:rPr>
        <w:t>U</w:t>
      </w:r>
      <w:r>
        <w:rPr>
          <w:rFonts w:ascii="Calibri" w:hAnsi="Calibri"/>
        </w:rPr>
        <w:t>nité administrative.</w:t>
      </w:r>
    </w:p>
    <w:p w14:paraId="3272E3FC" w14:textId="77777777" w:rsidR="005E420F" w:rsidRPr="00233F6F" w:rsidRDefault="005E420F" w:rsidP="005E420F">
      <w:pPr>
        <w:pStyle w:val="ListParagraph"/>
        <w:rPr>
          <w:rFonts w:ascii="Calibri" w:eastAsia="Times New Roman" w:hAnsi="Calibri" w:cs="Arial"/>
        </w:rPr>
      </w:pPr>
    </w:p>
    <w:p w14:paraId="7CA1155B" w14:textId="77777777" w:rsidR="005E420F" w:rsidRPr="007E161B" w:rsidRDefault="00007A13" w:rsidP="00233F6F">
      <w:pPr>
        <w:pStyle w:val="ListParagraph"/>
        <w:numPr>
          <w:ilvl w:val="0"/>
          <w:numId w:val="27"/>
        </w:numPr>
        <w:shd w:val="clear" w:color="auto" w:fill="FFFFFF"/>
        <w:spacing w:after="0" w:line="240" w:lineRule="auto"/>
        <w:jc w:val="both"/>
        <w:textAlignment w:val="top"/>
        <w:rPr>
          <w:rFonts w:ascii="Calibri" w:eastAsia="Times New Roman" w:hAnsi="Calibri" w:cs="Arial"/>
        </w:rPr>
      </w:pPr>
      <w:r>
        <w:rPr>
          <w:rFonts w:ascii="Calibri" w:hAnsi="Calibri"/>
        </w:rPr>
        <w:t xml:space="preserve">Le PNUD doit exclure les fournisseurs, les contractants et les consultants des </w:t>
      </w:r>
      <w:r w:rsidR="00505C7A">
        <w:rPr>
          <w:rFonts w:ascii="Calibri" w:hAnsi="Calibri"/>
        </w:rPr>
        <w:t>appels d</w:t>
      </w:r>
      <w:r w:rsidR="00B03DBE">
        <w:rPr>
          <w:rFonts w:ascii="Calibri" w:hAnsi="Calibri"/>
        </w:rPr>
        <w:t>’</w:t>
      </w:r>
      <w:r w:rsidR="00505C7A">
        <w:rPr>
          <w:rFonts w:ascii="Calibri" w:hAnsi="Calibri"/>
        </w:rPr>
        <w:t>offres en matière d</w:t>
      </w:r>
      <w:r w:rsidR="00B03DBE">
        <w:rPr>
          <w:rFonts w:ascii="Calibri" w:hAnsi="Calibri"/>
        </w:rPr>
        <w:t>’</w:t>
      </w:r>
      <w:r w:rsidR="00505C7A">
        <w:rPr>
          <w:rFonts w:ascii="Calibri" w:hAnsi="Calibri"/>
        </w:rPr>
        <w:t>approvisionnement</w:t>
      </w:r>
      <w:r>
        <w:rPr>
          <w:rFonts w:ascii="Calibri" w:hAnsi="Calibri"/>
        </w:rPr>
        <w:t xml:space="preserve"> si ceux-ci ou leurs affiliés fournissent des services de conseil pour la préparation et la mise en œuvre d</w:t>
      </w:r>
      <w:r w:rsidR="00B03DBE">
        <w:rPr>
          <w:rFonts w:ascii="Calibri" w:hAnsi="Calibri"/>
        </w:rPr>
        <w:t>‘</w:t>
      </w:r>
      <w:r>
        <w:rPr>
          <w:rFonts w:ascii="Calibri" w:hAnsi="Calibri"/>
        </w:rPr>
        <w:t>un projet. Pour éviter tout conflit d</w:t>
      </w:r>
      <w:r w:rsidR="00B03DBE">
        <w:rPr>
          <w:rFonts w:ascii="Calibri" w:hAnsi="Calibri"/>
        </w:rPr>
        <w:t>‘</w:t>
      </w:r>
      <w:r>
        <w:rPr>
          <w:rFonts w:ascii="Calibri" w:hAnsi="Calibri"/>
        </w:rPr>
        <w:t>intérêts, un soumissionnaire et ses affiliés ne sont pas habilités à fournir ultérieurement des biens et des travaux de génie civil dans le cadre d</w:t>
      </w:r>
      <w:r w:rsidR="00B03DBE">
        <w:rPr>
          <w:rFonts w:ascii="Calibri" w:hAnsi="Calibri"/>
        </w:rPr>
        <w:t>‘</w:t>
      </w:r>
      <w:r>
        <w:rPr>
          <w:rFonts w:ascii="Calibri" w:hAnsi="Calibri"/>
        </w:rPr>
        <w:t>un financement par le PNUD pour le même projet.</w:t>
      </w:r>
    </w:p>
    <w:p w14:paraId="4ABD49F5" w14:textId="77777777" w:rsidR="005E420F" w:rsidRPr="00233F6F" w:rsidRDefault="005E420F" w:rsidP="005E420F">
      <w:pPr>
        <w:pStyle w:val="ListParagraph"/>
        <w:rPr>
          <w:rFonts w:ascii="Calibri" w:eastAsia="Times New Roman" w:hAnsi="Calibri" w:cs="Arial"/>
        </w:rPr>
      </w:pPr>
    </w:p>
    <w:p w14:paraId="5A4C822E" w14:textId="2DCA1476" w:rsidR="005632E2" w:rsidRPr="005632E2" w:rsidRDefault="00007A13" w:rsidP="005632E2">
      <w:pPr>
        <w:pStyle w:val="ListParagraph"/>
        <w:numPr>
          <w:ilvl w:val="0"/>
          <w:numId w:val="27"/>
        </w:numPr>
        <w:shd w:val="clear" w:color="auto" w:fill="FFFFFF"/>
        <w:spacing w:after="0" w:line="240" w:lineRule="auto"/>
        <w:jc w:val="both"/>
        <w:textAlignment w:val="top"/>
        <w:rPr>
          <w:rFonts w:ascii="Calibri" w:hAnsi="Calibri"/>
        </w:rPr>
      </w:pPr>
      <w:r>
        <w:rPr>
          <w:rFonts w:ascii="Calibri" w:hAnsi="Calibri"/>
        </w:rPr>
        <w:t>Afin de protéger le PNUD contre l</w:t>
      </w:r>
      <w:r w:rsidR="00B03DBE">
        <w:rPr>
          <w:rFonts w:ascii="Calibri" w:hAnsi="Calibri"/>
        </w:rPr>
        <w:t>‘</w:t>
      </w:r>
      <w:r>
        <w:rPr>
          <w:rFonts w:ascii="Calibri" w:hAnsi="Calibri"/>
        </w:rPr>
        <w:t xml:space="preserve">utilisation illicite de fonds publics </w:t>
      </w:r>
      <w:r w:rsidR="00816F41">
        <w:rPr>
          <w:rFonts w:ascii="Calibri" w:hAnsi="Calibri"/>
        </w:rPr>
        <w:t>pour financer le</w:t>
      </w:r>
      <w:r>
        <w:rPr>
          <w:rFonts w:ascii="Calibri" w:hAnsi="Calibri"/>
        </w:rPr>
        <w:t xml:space="preserve"> terrorisme, les unités administratives doivent évaluer toutes les enti</w:t>
      </w:r>
      <w:r w:rsidRPr="00816F41">
        <w:rPr>
          <w:rFonts w:ascii="Calibri" w:hAnsi="Calibri"/>
        </w:rPr>
        <w:t>t</w:t>
      </w:r>
      <w:r>
        <w:rPr>
          <w:rFonts w:ascii="Calibri" w:hAnsi="Calibri"/>
        </w:rPr>
        <w:t>és avec lesquelles des transactions sont réalisées pour s</w:t>
      </w:r>
      <w:r w:rsidR="00B03DBE">
        <w:rPr>
          <w:rFonts w:ascii="Calibri" w:hAnsi="Calibri"/>
        </w:rPr>
        <w:t>‘</w:t>
      </w:r>
      <w:r>
        <w:rPr>
          <w:rFonts w:ascii="Calibri" w:hAnsi="Calibri"/>
        </w:rPr>
        <w:t>assurer que les fonds sont utilisés aux fins prévues. Pour maintenir le contrôle financier de ces fonds publics et respecter les règles et directives des Nations Unies concernant la lutte contre les pratiques de financement du terrorisme, faire preuve de diligence raisonnable exige que les unités administratives procèdent à un examen du profil de l</w:t>
      </w:r>
      <w:r w:rsidR="00B03DBE">
        <w:rPr>
          <w:rFonts w:ascii="Calibri" w:hAnsi="Calibri"/>
        </w:rPr>
        <w:t>‘</w:t>
      </w:r>
      <w:r>
        <w:rPr>
          <w:rFonts w:ascii="Calibri" w:hAnsi="Calibri"/>
        </w:rPr>
        <w:t>entité, y compris les antécédents, les rapports financiers, les états annuels, etc. et confirment l</w:t>
      </w:r>
      <w:r w:rsidR="00B03DBE">
        <w:rPr>
          <w:rFonts w:ascii="Calibri" w:hAnsi="Calibri"/>
        </w:rPr>
        <w:t>‘</w:t>
      </w:r>
      <w:r>
        <w:rPr>
          <w:rFonts w:ascii="Calibri" w:hAnsi="Calibri"/>
        </w:rPr>
        <w:t>enregistrement de l</w:t>
      </w:r>
      <w:r w:rsidR="00B03DBE">
        <w:rPr>
          <w:rFonts w:ascii="Calibri" w:hAnsi="Calibri"/>
        </w:rPr>
        <w:t>’</w:t>
      </w:r>
      <w:r>
        <w:rPr>
          <w:rFonts w:ascii="Calibri" w:hAnsi="Calibri"/>
        </w:rPr>
        <w:t xml:space="preserve">entreprise auprès des autorités gouvernementales. </w:t>
      </w:r>
      <w:r w:rsidR="005632E2" w:rsidRPr="005632E2">
        <w:rPr>
          <w:rFonts w:ascii="Calibri" w:hAnsi="Calibri"/>
        </w:rPr>
        <w:t xml:space="preserve">Toutes les entités doivent être vérifiées pour s’assurer qu’elles sont légitimes et ne figurent pas sur </w:t>
      </w:r>
      <w:hyperlink r:id="rId13" w:history="1">
        <w:r w:rsidR="005632E2" w:rsidRPr="00BC7EA5">
          <w:rPr>
            <w:rStyle w:val="Hyperlink"/>
            <w:rFonts w:ascii="Calibri" w:hAnsi="Calibri"/>
          </w:rPr>
          <w:t>la liste de l’UNGM des fournisseurs suspendus ou radiés</w:t>
        </w:r>
      </w:hyperlink>
      <w:r w:rsidR="005632E2" w:rsidRPr="005632E2">
        <w:rPr>
          <w:rFonts w:ascii="Calibri" w:hAnsi="Calibri"/>
        </w:rPr>
        <w:t xml:space="preserve">, qui incluse la liste des terroristes et des financeurs du terrorisme dressée par le Comité 1267 du Conseil de sécurité, la liste du PNUD des fournisseurs suspendus ou radiés, et des autres listes obligatoires.  </w:t>
      </w:r>
    </w:p>
    <w:p w14:paraId="442B013E" w14:textId="33FD95E0" w:rsidR="005632E2" w:rsidRPr="005632E2" w:rsidRDefault="005632E2" w:rsidP="005632E2">
      <w:pPr>
        <w:pStyle w:val="ListParagraph"/>
        <w:shd w:val="clear" w:color="auto" w:fill="FFFFFF"/>
        <w:spacing w:after="0" w:line="240" w:lineRule="auto"/>
        <w:ind w:left="1080"/>
        <w:jc w:val="both"/>
        <w:textAlignment w:val="top"/>
        <w:rPr>
          <w:rFonts w:ascii="Calibri" w:hAnsi="Calibri"/>
        </w:rPr>
      </w:pPr>
    </w:p>
    <w:p w14:paraId="5ACB0642" w14:textId="13DC8097" w:rsidR="005E420F" w:rsidRPr="005632E2" w:rsidRDefault="005632E2" w:rsidP="00450AB2">
      <w:pPr>
        <w:pStyle w:val="ListParagraph"/>
        <w:shd w:val="clear" w:color="auto" w:fill="FFFFFF"/>
        <w:spacing w:after="0" w:line="240" w:lineRule="auto"/>
        <w:ind w:left="1080"/>
        <w:jc w:val="both"/>
        <w:textAlignment w:val="top"/>
        <w:rPr>
          <w:rFonts w:ascii="Calibri" w:hAnsi="Calibri"/>
        </w:rPr>
      </w:pPr>
      <w:r w:rsidRPr="005632E2">
        <w:rPr>
          <w:rFonts w:ascii="Calibri" w:hAnsi="Calibri"/>
        </w:rPr>
        <w:t xml:space="preserve">La vérification des fournisseurs peut nécessiter l’obtention de documents d’appui d’une bonne relation entre le PNUD et le fournisseur. Les principaux documents justificatifs sont des originaux ou des copies certifiées conformes indiquant le nom complet, l’adresse et les coordonnées bancaires du fournisseur et dûment signées par un personnel autorisé, accompagnées d’une copie du relevé bancaire ou d’un chèque annulé. Ces documents d’appui doivent être conservées et classées en toute sécurité.  La procédure complète et les conseils connexes, y compris la vérification des sources d’information alternatives pour s’assurer que le fournisseur est légitime, sont spécifiées dans le POPP.  </w:t>
      </w:r>
    </w:p>
    <w:p w14:paraId="39BBEC0B" w14:textId="77777777" w:rsidR="005E420F" w:rsidRPr="00233F6F" w:rsidRDefault="005E420F" w:rsidP="005E420F">
      <w:pPr>
        <w:pStyle w:val="ListParagraph"/>
        <w:rPr>
          <w:rFonts w:ascii="Calibri" w:eastAsia="Times New Roman" w:hAnsi="Calibri" w:cs="Arial"/>
        </w:rPr>
      </w:pPr>
    </w:p>
    <w:p w14:paraId="795B2235" w14:textId="77777777" w:rsidR="005E420F" w:rsidRPr="007E161B" w:rsidRDefault="00007A13" w:rsidP="00233F6F">
      <w:pPr>
        <w:pStyle w:val="ListParagraph"/>
        <w:numPr>
          <w:ilvl w:val="0"/>
          <w:numId w:val="27"/>
        </w:numPr>
        <w:shd w:val="clear" w:color="auto" w:fill="FFFFFF"/>
        <w:spacing w:after="0" w:line="240" w:lineRule="auto"/>
        <w:jc w:val="both"/>
        <w:textAlignment w:val="top"/>
        <w:rPr>
          <w:rFonts w:ascii="Calibri" w:eastAsia="Times New Roman" w:hAnsi="Calibri" w:cs="Arial"/>
        </w:rPr>
      </w:pPr>
      <w:r>
        <w:rPr>
          <w:rFonts w:ascii="Calibri" w:hAnsi="Calibri"/>
        </w:rPr>
        <w:t>Tout le personnel est responsable de la régularité de ses actions. Tout membre du personnel prenant des mesures contraires au Règlement financier et règles de gestion financière du PNUD ou à la présente politique peut être tenu personnellement et financièrement responsable des conséquences.</w:t>
      </w:r>
    </w:p>
    <w:p w14:paraId="383C3EA5" w14:textId="77777777" w:rsidR="005E420F" w:rsidRPr="00233F6F" w:rsidRDefault="005E420F" w:rsidP="005E420F">
      <w:pPr>
        <w:pStyle w:val="ListParagraph"/>
        <w:shd w:val="clear" w:color="auto" w:fill="FFFFFF"/>
        <w:spacing w:after="0" w:line="240" w:lineRule="auto"/>
        <w:jc w:val="both"/>
        <w:textAlignment w:val="top"/>
        <w:rPr>
          <w:rFonts w:ascii="Calibri" w:eastAsia="Times New Roman" w:hAnsi="Calibri" w:cs="Arial"/>
        </w:rPr>
      </w:pPr>
    </w:p>
    <w:p w14:paraId="7A3C0F4A" w14:textId="77777777" w:rsidR="00C46B39" w:rsidRPr="007E161B" w:rsidRDefault="00C46B39" w:rsidP="00233F6F">
      <w:pPr>
        <w:pStyle w:val="ListParagraph"/>
        <w:numPr>
          <w:ilvl w:val="0"/>
          <w:numId w:val="27"/>
        </w:numPr>
        <w:shd w:val="clear" w:color="auto" w:fill="FFFFFF"/>
        <w:spacing w:before="240" w:after="0" w:line="240" w:lineRule="auto"/>
        <w:jc w:val="both"/>
        <w:textAlignment w:val="top"/>
        <w:rPr>
          <w:rFonts w:ascii="Calibri" w:eastAsia="Times New Roman" w:hAnsi="Calibri" w:cs="Arial"/>
        </w:rPr>
      </w:pPr>
      <w:r>
        <w:rPr>
          <w:rFonts w:ascii="Calibri" w:hAnsi="Calibri"/>
          <w:bCs/>
        </w:rPr>
        <w:t>Les principaux risques à éviter dans chaque phase d</w:t>
      </w:r>
      <w:r w:rsidR="00B03DBE">
        <w:rPr>
          <w:rFonts w:ascii="Calibri" w:hAnsi="Calibri"/>
          <w:bCs/>
        </w:rPr>
        <w:t>‘</w:t>
      </w:r>
      <w:r>
        <w:rPr>
          <w:rFonts w:ascii="Calibri" w:hAnsi="Calibri"/>
          <w:bCs/>
        </w:rPr>
        <w:t>approvisionnement sont les suivants</w:t>
      </w:r>
      <w:r w:rsidR="00816F41">
        <w:rPr>
          <w:rFonts w:ascii="Calibri" w:hAnsi="Calibri"/>
          <w:bCs/>
        </w:rPr>
        <w:t> </w:t>
      </w:r>
      <w:r>
        <w:rPr>
          <w:rFonts w:ascii="Calibri" w:hAnsi="Calibri"/>
          <w:bCs/>
        </w:rPr>
        <w:t xml:space="preserve">: </w:t>
      </w:r>
    </w:p>
    <w:p w14:paraId="6D23716E" w14:textId="77777777" w:rsidR="00C46B39" w:rsidRPr="007E161B" w:rsidRDefault="00C46B39" w:rsidP="005E420F">
      <w:pPr>
        <w:shd w:val="clear" w:color="auto" w:fill="FFFFFF"/>
        <w:spacing w:before="100" w:beforeAutospacing="1" w:after="100" w:afterAutospacing="1" w:line="240" w:lineRule="auto"/>
        <w:ind w:left="720"/>
        <w:textAlignment w:val="top"/>
        <w:rPr>
          <w:rFonts w:ascii="Calibri" w:eastAsia="Times New Roman" w:hAnsi="Calibri" w:cs="Arial"/>
        </w:rPr>
      </w:pPr>
      <w:r>
        <w:rPr>
          <w:rFonts w:ascii="Calibri" w:hAnsi="Calibri"/>
        </w:rPr>
        <w:t>Planification et budgétisation des achats</w:t>
      </w:r>
      <w:r w:rsidR="00816F41">
        <w:rPr>
          <w:rFonts w:ascii="Calibri" w:hAnsi="Calibri"/>
          <w:bCs/>
        </w:rPr>
        <w:t> </w:t>
      </w:r>
      <w:r>
        <w:rPr>
          <w:rFonts w:ascii="Calibri" w:hAnsi="Calibri"/>
        </w:rPr>
        <w:t>:</w:t>
      </w:r>
    </w:p>
    <w:p w14:paraId="03C38A5E" w14:textId="77777777" w:rsidR="00C46B39" w:rsidRPr="007E161B" w:rsidRDefault="00C46B39" w:rsidP="00F76234">
      <w:pPr>
        <w:numPr>
          <w:ilvl w:val="0"/>
          <w:numId w:val="21"/>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rPr>
      </w:pPr>
      <w:r>
        <w:rPr>
          <w:rFonts w:ascii="Calibri" w:hAnsi="Calibri"/>
        </w:rPr>
        <w:t>Analyse inadéquate du marché de l</w:t>
      </w:r>
      <w:r w:rsidR="00B03DBE">
        <w:rPr>
          <w:rFonts w:ascii="Calibri" w:hAnsi="Calibri"/>
        </w:rPr>
        <w:t>‘</w:t>
      </w:r>
      <w:r>
        <w:rPr>
          <w:rFonts w:ascii="Calibri" w:hAnsi="Calibri"/>
        </w:rPr>
        <w:t>offre, des exigences organisationnelles, et des besoins et enjeux des parties prenantes</w:t>
      </w:r>
    </w:p>
    <w:p w14:paraId="7F9FDFEF" w14:textId="77777777" w:rsidR="00C46B39" w:rsidRPr="007E161B" w:rsidRDefault="00C46B39" w:rsidP="00F76234">
      <w:pPr>
        <w:numPr>
          <w:ilvl w:val="0"/>
          <w:numId w:val="21"/>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rPr>
      </w:pPr>
      <w:r>
        <w:rPr>
          <w:rFonts w:ascii="Calibri" w:hAnsi="Calibri"/>
        </w:rPr>
        <w:t>Aucune planification réalisée, donc aucun risque évalué</w:t>
      </w:r>
    </w:p>
    <w:p w14:paraId="335EBEF9" w14:textId="77777777" w:rsidR="00C46B39" w:rsidRPr="007E161B" w:rsidRDefault="00FC1F53" w:rsidP="00F76234">
      <w:pPr>
        <w:numPr>
          <w:ilvl w:val="0"/>
          <w:numId w:val="21"/>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rPr>
      </w:pPr>
      <w:r>
        <w:rPr>
          <w:rFonts w:ascii="Calibri" w:hAnsi="Calibri"/>
        </w:rPr>
        <w:t xml:space="preserve">Besoins en approvisionnements artificiellement gonflés ou énoncés </w:t>
      </w:r>
      <w:r w:rsidR="00CE7423">
        <w:rPr>
          <w:rFonts w:ascii="Calibri" w:hAnsi="Calibri"/>
        </w:rPr>
        <w:t>d</w:t>
      </w:r>
      <w:r w:rsidR="00B03DBE">
        <w:rPr>
          <w:rFonts w:ascii="Calibri" w:hAnsi="Calibri"/>
        </w:rPr>
        <w:t>’</w:t>
      </w:r>
      <w:r w:rsidR="00CE7423">
        <w:rPr>
          <w:rFonts w:ascii="Calibri" w:hAnsi="Calibri"/>
        </w:rPr>
        <w:t xml:space="preserve">une manière </w:t>
      </w:r>
      <w:r>
        <w:rPr>
          <w:rFonts w:ascii="Calibri" w:hAnsi="Calibri"/>
        </w:rPr>
        <w:t>permettant à des biens ou des services de qualité médiocre d</w:t>
      </w:r>
      <w:r w:rsidR="00B03DBE">
        <w:rPr>
          <w:rFonts w:ascii="Calibri" w:hAnsi="Calibri"/>
        </w:rPr>
        <w:t>’</w:t>
      </w:r>
      <w:r w:rsidR="00CE7423">
        <w:rPr>
          <w:rFonts w:ascii="Calibri" w:hAnsi="Calibri"/>
        </w:rPr>
        <w:t>être acceptés</w:t>
      </w:r>
    </w:p>
    <w:p w14:paraId="54D126B4" w14:textId="77777777" w:rsidR="00C46B39" w:rsidRPr="007E161B" w:rsidRDefault="00C46B39" w:rsidP="00F76234">
      <w:pPr>
        <w:numPr>
          <w:ilvl w:val="0"/>
          <w:numId w:val="21"/>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rPr>
      </w:pPr>
      <w:r>
        <w:rPr>
          <w:rFonts w:ascii="Calibri" w:hAnsi="Calibri"/>
        </w:rPr>
        <w:t>Exigences préparées de manière à favoriser ou à défavoriser certains fournisseurs</w:t>
      </w:r>
    </w:p>
    <w:p w14:paraId="76C6B5D5" w14:textId="77777777" w:rsidR="00C46B39" w:rsidRPr="007E161B" w:rsidRDefault="00C46B39" w:rsidP="00F76234">
      <w:pPr>
        <w:numPr>
          <w:ilvl w:val="0"/>
          <w:numId w:val="21"/>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rPr>
      </w:pPr>
      <w:r>
        <w:rPr>
          <w:rFonts w:ascii="Calibri" w:hAnsi="Calibri"/>
        </w:rPr>
        <w:t>« Justifications » des cas de renonciation mal argumentées</w:t>
      </w:r>
    </w:p>
    <w:p w14:paraId="403AA28B" w14:textId="77777777" w:rsidR="00C46B39" w:rsidRPr="007E161B" w:rsidRDefault="00C46B39" w:rsidP="00F76234">
      <w:pPr>
        <w:numPr>
          <w:ilvl w:val="0"/>
          <w:numId w:val="21"/>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rPr>
      </w:pPr>
      <w:r>
        <w:rPr>
          <w:rFonts w:ascii="Calibri" w:hAnsi="Calibri"/>
        </w:rPr>
        <w:t>Budgets artificiellement élevés</w:t>
      </w:r>
    </w:p>
    <w:p w14:paraId="247A7335" w14:textId="77777777" w:rsidR="00C46B39" w:rsidRPr="007E161B" w:rsidRDefault="00C46B39" w:rsidP="005E420F">
      <w:pPr>
        <w:shd w:val="clear" w:color="auto" w:fill="FFFFFF"/>
        <w:spacing w:before="100" w:beforeAutospacing="1" w:after="100" w:afterAutospacing="1" w:line="240" w:lineRule="auto"/>
        <w:ind w:left="720"/>
        <w:textAlignment w:val="top"/>
        <w:rPr>
          <w:rFonts w:ascii="Calibri" w:eastAsia="Times New Roman" w:hAnsi="Calibri" w:cs="Arial"/>
        </w:rPr>
      </w:pPr>
      <w:r>
        <w:rPr>
          <w:rFonts w:ascii="Calibri" w:hAnsi="Calibri"/>
        </w:rPr>
        <w:t>Sélection</w:t>
      </w:r>
      <w:r w:rsidR="00CE7423">
        <w:rPr>
          <w:rFonts w:ascii="Calibri" w:hAnsi="Calibri"/>
        </w:rPr>
        <w:t> </w:t>
      </w:r>
      <w:r>
        <w:rPr>
          <w:rFonts w:ascii="Calibri" w:hAnsi="Calibri"/>
        </w:rPr>
        <w:t>:</w:t>
      </w:r>
    </w:p>
    <w:p w14:paraId="08A28163" w14:textId="77777777" w:rsidR="00C46B39" w:rsidRPr="007E161B" w:rsidRDefault="00BF4F21" w:rsidP="00F76234">
      <w:pPr>
        <w:numPr>
          <w:ilvl w:val="0"/>
          <w:numId w:val="22"/>
        </w:numPr>
        <w:shd w:val="clear" w:color="auto" w:fill="FFFFFF"/>
        <w:tabs>
          <w:tab w:val="clear" w:pos="720"/>
        </w:tabs>
        <w:spacing w:before="240" w:after="100" w:afterAutospacing="1" w:line="240" w:lineRule="auto"/>
        <w:ind w:left="1440"/>
        <w:textAlignment w:val="top"/>
        <w:rPr>
          <w:rFonts w:ascii="Calibri" w:eastAsia="Times New Roman" w:hAnsi="Calibri" w:cs="Arial"/>
        </w:rPr>
      </w:pPr>
      <w:r>
        <w:rPr>
          <w:rFonts w:ascii="Calibri" w:hAnsi="Calibri"/>
        </w:rPr>
        <w:t xml:space="preserve">Utilisation </w:t>
      </w:r>
      <w:r w:rsidR="00C46B39">
        <w:rPr>
          <w:rFonts w:ascii="Calibri" w:hAnsi="Calibri"/>
        </w:rPr>
        <w:t>de méthodes d</w:t>
      </w:r>
      <w:r w:rsidR="00B03DBE">
        <w:rPr>
          <w:rFonts w:ascii="Calibri" w:hAnsi="Calibri"/>
        </w:rPr>
        <w:t>‘</w:t>
      </w:r>
      <w:r w:rsidR="00C46B39">
        <w:rPr>
          <w:rFonts w:ascii="Calibri" w:hAnsi="Calibri"/>
        </w:rPr>
        <w:t>approvisionnement inappropriées dans le but de trouver des moyens de renverser le processus de prise de décisions habituel</w:t>
      </w:r>
    </w:p>
    <w:p w14:paraId="5D4A713B" w14:textId="77777777" w:rsidR="00C46B39" w:rsidRPr="007E161B" w:rsidRDefault="00C46B39" w:rsidP="00F76234">
      <w:pPr>
        <w:numPr>
          <w:ilvl w:val="0"/>
          <w:numId w:val="22"/>
        </w:numPr>
        <w:shd w:val="clear" w:color="auto" w:fill="FFFFFF"/>
        <w:tabs>
          <w:tab w:val="clear" w:pos="720"/>
        </w:tabs>
        <w:spacing w:before="240" w:after="100" w:afterAutospacing="1" w:line="240" w:lineRule="auto"/>
        <w:ind w:left="1440"/>
        <w:textAlignment w:val="top"/>
        <w:rPr>
          <w:rFonts w:ascii="Calibri" w:eastAsia="Times New Roman" w:hAnsi="Calibri" w:cs="Arial"/>
        </w:rPr>
      </w:pPr>
      <w:r>
        <w:rPr>
          <w:rFonts w:ascii="Calibri" w:hAnsi="Calibri"/>
        </w:rPr>
        <w:t>Critères d</w:t>
      </w:r>
      <w:r w:rsidR="00B03DBE">
        <w:rPr>
          <w:rFonts w:ascii="Calibri" w:hAnsi="Calibri"/>
        </w:rPr>
        <w:t>‘</w:t>
      </w:r>
      <w:r>
        <w:rPr>
          <w:rFonts w:ascii="Calibri" w:hAnsi="Calibri"/>
        </w:rPr>
        <w:t>évaluation conçus pour favoriser un fournisseur en particulier ou en disqualifier d</w:t>
      </w:r>
      <w:r w:rsidR="00B03DBE">
        <w:rPr>
          <w:rFonts w:ascii="Calibri" w:hAnsi="Calibri"/>
        </w:rPr>
        <w:t>’</w:t>
      </w:r>
      <w:r>
        <w:rPr>
          <w:rFonts w:ascii="Calibri" w:hAnsi="Calibri"/>
        </w:rPr>
        <w:t>autres</w:t>
      </w:r>
    </w:p>
    <w:p w14:paraId="0BE6BC1A" w14:textId="77777777" w:rsidR="00C46B39" w:rsidRPr="007E161B" w:rsidRDefault="00C46B39" w:rsidP="00F76234">
      <w:pPr>
        <w:numPr>
          <w:ilvl w:val="0"/>
          <w:numId w:val="22"/>
        </w:numPr>
        <w:shd w:val="clear" w:color="auto" w:fill="FFFFFF"/>
        <w:tabs>
          <w:tab w:val="clear" w:pos="720"/>
        </w:tabs>
        <w:spacing w:before="240" w:after="100" w:afterAutospacing="1" w:line="240" w:lineRule="auto"/>
        <w:ind w:left="1440"/>
        <w:textAlignment w:val="top"/>
        <w:rPr>
          <w:rFonts w:ascii="Calibri" w:eastAsia="Times New Roman" w:hAnsi="Calibri" w:cs="Arial"/>
        </w:rPr>
      </w:pPr>
      <w:r>
        <w:rPr>
          <w:rFonts w:ascii="Calibri" w:hAnsi="Calibri"/>
        </w:rPr>
        <w:t>Informations partagées pour favoriser un fournisseur particulier</w:t>
      </w:r>
    </w:p>
    <w:p w14:paraId="2DCAF8DA" w14:textId="77777777" w:rsidR="00C46B39" w:rsidRPr="007E161B" w:rsidRDefault="00BF4F21" w:rsidP="00F76234">
      <w:pPr>
        <w:numPr>
          <w:ilvl w:val="0"/>
          <w:numId w:val="22"/>
        </w:numPr>
        <w:shd w:val="clear" w:color="auto" w:fill="FFFFFF"/>
        <w:tabs>
          <w:tab w:val="clear" w:pos="720"/>
        </w:tabs>
        <w:spacing w:before="240" w:after="100" w:afterAutospacing="1" w:line="240" w:lineRule="auto"/>
        <w:ind w:left="1440"/>
        <w:textAlignment w:val="top"/>
        <w:rPr>
          <w:rFonts w:ascii="Calibri" w:eastAsia="Times New Roman" w:hAnsi="Calibri" w:cs="Arial"/>
        </w:rPr>
      </w:pPr>
      <w:r>
        <w:rPr>
          <w:rFonts w:ascii="Calibri" w:hAnsi="Calibri"/>
        </w:rPr>
        <w:t>Limitation indue</w:t>
      </w:r>
      <w:r w:rsidR="0016295A">
        <w:rPr>
          <w:rFonts w:ascii="Calibri" w:hAnsi="Calibri"/>
        </w:rPr>
        <w:t xml:space="preserve"> </w:t>
      </w:r>
      <w:r>
        <w:rPr>
          <w:rFonts w:ascii="Calibri" w:hAnsi="Calibri"/>
        </w:rPr>
        <w:t>du</w:t>
      </w:r>
      <w:r w:rsidR="0016295A">
        <w:rPr>
          <w:rFonts w:ascii="Calibri" w:hAnsi="Calibri"/>
        </w:rPr>
        <w:t xml:space="preserve"> </w:t>
      </w:r>
      <w:r w:rsidR="00CE7423">
        <w:rPr>
          <w:rFonts w:ascii="Calibri" w:hAnsi="Calibri"/>
        </w:rPr>
        <w:t xml:space="preserve">bassin </w:t>
      </w:r>
      <w:r w:rsidR="0016295A">
        <w:rPr>
          <w:rFonts w:ascii="Calibri" w:hAnsi="Calibri"/>
        </w:rPr>
        <w:t>de fournisseurs potentiels</w:t>
      </w:r>
    </w:p>
    <w:p w14:paraId="5EB9A101" w14:textId="77777777" w:rsidR="00C46B39" w:rsidRPr="007E161B" w:rsidRDefault="00BF4F21" w:rsidP="00F76234">
      <w:pPr>
        <w:numPr>
          <w:ilvl w:val="0"/>
          <w:numId w:val="22"/>
        </w:numPr>
        <w:shd w:val="clear" w:color="auto" w:fill="FFFFFF"/>
        <w:tabs>
          <w:tab w:val="clear" w:pos="720"/>
        </w:tabs>
        <w:spacing w:before="240" w:after="100" w:afterAutospacing="1" w:line="240" w:lineRule="auto"/>
        <w:ind w:left="1440"/>
        <w:textAlignment w:val="top"/>
        <w:rPr>
          <w:rFonts w:ascii="Calibri" w:eastAsia="Times New Roman" w:hAnsi="Calibri" w:cs="Arial"/>
        </w:rPr>
      </w:pPr>
      <w:r>
        <w:rPr>
          <w:rFonts w:ascii="Calibri" w:hAnsi="Calibri"/>
        </w:rPr>
        <w:t>Acceptation des</w:t>
      </w:r>
      <w:r w:rsidR="00C46B39">
        <w:rPr>
          <w:rFonts w:ascii="Calibri" w:hAnsi="Calibri"/>
        </w:rPr>
        <w:t xml:space="preserve"> offres ou les soumissions tardives</w:t>
      </w:r>
    </w:p>
    <w:p w14:paraId="12628D17" w14:textId="77777777" w:rsidR="00C46B39" w:rsidRPr="007E161B" w:rsidRDefault="00BF4F21" w:rsidP="00F76234">
      <w:pPr>
        <w:numPr>
          <w:ilvl w:val="0"/>
          <w:numId w:val="22"/>
        </w:numPr>
        <w:shd w:val="clear" w:color="auto" w:fill="FFFFFF"/>
        <w:tabs>
          <w:tab w:val="clear" w:pos="720"/>
        </w:tabs>
        <w:spacing w:before="240" w:after="100" w:afterAutospacing="1" w:line="240" w:lineRule="auto"/>
        <w:ind w:left="1440"/>
        <w:textAlignment w:val="top"/>
        <w:rPr>
          <w:rFonts w:ascii="Calibri" w:eastAsia="Times New Roman" w:hAnsi="Calibri" w:cs="Arial"/>
        </w:rPr>
      </w:pPr>
      <w:r>
        <w:rPr>
          <w:rFonts w:ascii="Calibri" w:hAnsi="Calibri"/>
        </w:rPr>
        <w:lastRenderedPageBreak/>
        <w:t xml:space="preserve">Rejet </w:t>
      </w:r>
      <w:r w:rsidR="00C46B39">
        <w:rPr>
          <w:rFonts w:ascii="Calibri" w:hAnsi="Calibri"/>
        </w:rPr>
        <w:t>d</w:t>
      </w:r>
      <w:r w:rsidR="00B03DBE">
        <w:rPr>
          <w:rFonts w:ascii="Calibri" w:hAnsi="Calibri"/>
        </w:rPr>
        <w:t>’</w:t>
      </w:r>
      <w:r w:rsidR="00C46B39">
        <w:rPr>
          <w:rFonts w:ascii="Calibri" w:hAnsi="Calibri"/>
        </w:rPr>
        <w:t>offres recevables</w:t>
      </w:r>
    </w:p>
    <w:p w14:paraId="69CB6A25" w14:textId="77777777" w:rsidR="00C46B39" w:rsidRPr="007E161B" w:rsidRDefault="00C46B39" w:rsidP="00F76234">
      <w:pPr>
        <w:numPr>
          <w:ilvl w:val="0"/>
          <w:numId w:val="22"/>
        </w:numPr>
        <w:shd w:val="clear" w:color="auto" w:fill="FFFFFF"/>
        <w:tabs>
          <w:tab w:val="clear" w:pos="720"/>
        </w:tabs>
        <w:spacing w:before="240" w:after="100" w:afterAutospacing="1" w:line="240" w:lineRule="auto"/>
        <w:ind w:left="1440"/>
        <w:textAlignment w:val="top"/>
        <w:rPr>
          <w:rFonts w:ascii="Calibri" w:eastAsia="Times New Roman" w:hAnsi="Calibri" w:cs="Arial"/>
        </w:rPr>
      </w:pPr>
      <w:r>
        <w:rPr>
          <w:rFonts w:ascii="Calibri" w:hAnsi="Calibri"/>
        </w:rPr>
        <w:t>Évaluation inappropriée d</w:t>
      </w:r>
      <w:r w:rsidR="00B03DBE">
        <w:rPr>
          <w:rFonts w:ascii="Calibri" w:hAnsi="Calibri"/>
        </w:rPr>
        <w:t>‘</w:t>
      </w:r>
      <w:r>
        <w:rPr>
          <w:rFonts w:ascii="Calibri" w:hAnsi="Calibri"/>
        </w:rPr>
        <w:t>un fournisseur</w:t>
      </w:r>
    </w:p>
    <w:p w14:paraId="3BB3EF86" w14:textId="77777777" w:rsidR="00C46B39" w:rsidRPr="007E161B" w:rsidRDefault="00C46B39" w:rsidP="00F76234">
      <w:pPr>
        <w:numPr>
          <w:ilvl w:val="0"/>
          <w:numId w:val="22"/>
        </w:numPr>
        <w:shd w:val="clear" w:color="auto" w:fill="FFFFFF"/>
        <w:tabs>
          <w:tab w:val="clear" w:pos="720"/>
        </w:tabs>
        <w:spacing w:before="240" w:after="100" w:afterAutospacing="1" w:line="240" w:lineRule="auto"/>
        <w:ind w:left="1440"/>
        <w:textAlignment w:val="top"/>
        <w:rPr>
          <w:rFonts w:ascii="Calibri" w:eastAsia="Times New Roman" w:hAnsi="Calibri" w:cs="Arial"/>
        </w:rPr>
      </w:pPr>
      <w:r>
        <w:rPr>
          <w:rFonts w:ascii="Calibri" w:hAnsi="Calibri"/>
        </w:rPr>
        <w:t>Mauvaise gestion des soumissions reçues</w:t>
      </w:r>
    </w:p>
    <w:p w14:paraId="00F8B89B" w14:textId="77777777" w:rsidR="00C46B39" w:rsidRPr="007E161B" w:rsidRDefault="00BF4F21" w:rsidP="00F76234">
      <w:pPr>
        <w:numPr>
          <w:ilvl w:val="0"/>
          <w:numId w:val="22"/>
        </w:numPr>
        <w:shd w:val="clear" w:color="auto" w:fill="FFFFFF"/>
        <w:tabs>
          <w:tab w:val="clear" w:pos="720"/>
        </w:tabs>
        <w:spacing w:before="240" w:after="100" w:afterAutospacing="1" w:line="240" w:lineRule="auto"/>
        <w:ind w:left="1440"/>
        <w:textAlignment w:val="top"/>
        <w:rPr>
          <w:rFonts w:ascii="Calibri" w:eastAsia="Times New Roman" w:hAnsi="Calibri" w:cs="Arial"/>
        </w:rPr>
      </w:pPr>
      <w:r>
        <w:rPr>
          <w:rFonts w:ascii="Calibri" w:hAnsi="Calibri"/>
        </w:rPr>
        <w:t>Mauvaise détection des</w:t>
      </w:r>
      <w:r w:rsidR="00C46B39">
        <w:rPr>
          <w:rFonts w:ascii="Calibri" w:hAnsi="Calibri"/>
        </w:rPr>
        <w:t xml:space="preserve"> documents frauduleux transmis par les soumissionnaires</w:t>
      </w:r>
    </w:p>
    <w:p w14:paraId="60CECC60" w14:textId="77777777" w:rsidR="00C46B39" w:rsidRPr="007E161B" w:rsidRDefault="00C46B39" w:rsidP="005E420F">
      <w:pPr>
        <w:shd w:val="clear" w:color="auto" w:fill="FFFFFF"/>
        <w:spacing w:before="100" w:beforeAutospacing="1" w:after="100" w:afterAutospacing="1" w:line="240" w:lineRule="auto"/>
        <w:ind w:left="720"/>
        <w:textAlignment w:val="top"/>
        <w:rPr>
          <w:rFonts w:ascii="Calibri" w:eastAsia="Times New Roman" w:hAnsi="Calibri" w:cs="Arial"/>
        </w:rPr>
      </w:pPr>
      <w:r>
        <w:rPr>
          <w:rFonts w:ascii="Calibri" w:hAnsi="Calibri"/>
        </w:rPr>
        <w:t>Attribution et gestion des contrats</w:t>
      </w:r>
      <w:r w:rsidR="00D45562">
        <w:rPr>
          <w:rFonts w:ascii="Calibri" w:hAnsi="Calibri"/>
        </w:rPr>
        <w:t> </w:t>
      </w:r>
      <w:r>
        <w:rPr>
          <w:rFonts w:ascii="Calibri" w:hAnsi="Calibri"/>
        </w:rPr>
        <w:t>:</w:t>
      </w:r>
    </w:p>
    <w:p w14:paraId="7883764F" w14:textId="77777777" w:rsidR="00C46B39" w:rsidRPr="007E161B" w:rsidRDefault="00C46B39" w:rsidP="00F76234">
      <w:pPr>
        <w:numPr>
          <w:ilvl w:val="0"/>
          <w:numId w:val="23"/>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rPr>
      </w:pPr>
      <w:r>
        <w:rPr>
          <w:rFonts w:ascii="Calibri" w:hAnsi="Calibri"/>
        </w:rPr>
        <w:t>Fractionnement des actions d</w:t>
      </w:r>
      <w:r w:rsidR="00B03DBE">
        <w:rPr>
          <w:rFonts w:ascii="Calibri" w:hAnsi="Calibri"/>
        </w:rPr>
        <w:t>‘</w:t>
      </w:r>
      <w:r>
        <w:rPr>
          <w:rFonts w:ascii="Calibri" w:hAnsi="Calibri"/>
        </w:rPr>
        <w:t>approvisionnement afin de ne pas dépasser le seuil d</w:t>
      </w:r>
      <w:r w:rsidR="00B03DBE">
        <w:rPr>
          <w:rFonts w:ascii="Calibri" w:hAnsi="Calibri"/>
        </w:rPr>
        <w:t>‘</w:t>
      </w:r>
      <w:r>
        <w:rPr>
          <w:rFonts w:ascii="Calibri" w:hAnsi="Calibri"/>
        </w:rPr>
        <w:t>examen des achats</w:t>
      </w:r>
    </w:p>
    <w:p w14:paraId="665EAE88" w14:textId="77777777" w:rsidR="00C46B39" w:rsidRPr="007E161B" w:rsidRDefault="00C46B39" w:rsidP="00F76234">
      <w:pPr>
        <w:numPr>
          <w:ilvl w:val="0"/>
          <w:numId w:val="23"/>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rPr>
      </w:pPr>
      <w:r>
        <w:rPr>
          <w:rFonts w:ascii="Calibri" w:hAnsi="Calibri"/>
        </w:rPr>
        <w:t>Présentation peu réaliste d</w:t>
      </w:r>
      <w:r w:rsidR="00B03DBE">
        <w:rPr>
          <w:rFonts w:ascii="Calibri" w:hAnsi="Calibri"/>
        </w:rPr>
        <w:t>’</w:t>
      </w:r>
      <w:r>
        <w:rPr>
          <w:rFonts w:ascii="Calibri" w:hAnsi="Calibri"/>
        </w:rPr>
        <w:t>un prix très bas dans l</w:t>
      </w:r>
      <w:r w:rsidR="00B03DBE">
        <w:rPr>
          <w:rFonts w:ascii="Calibri" w:hAnsi="Calibri"/>
        </w:rPr>
        <w:t>’</w:t>
      </w:r>
      <w:r>
        <w:rPr>
          <w:rFonts w:ascii="Calibri" w:hAnsi="Calibri"/>
        </w:rPr>
        <w:t>espoir de modifier le contrat ultérieurement</w:t>
      </w:r>
    </w:p>
    <w:p w14:paraId="595A7EBB" w14:textId="77777777" w:rsidR="00C46B39" w:rsidRPr="007E161B" w:rsidRDefault="00C46B39" w:rsidP="00F76234">
      <w:pPr>
        <w:numPr>
          <w:ilvl w:val="0"/>
          <w:numId w:val="23"/>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rPr>
      </w:pPr>
      <w:r>
        <w:rPr>
          <w:rFonts w:ascii="Calibri" w:hAnsi="Calibri"/>
        </w:rPr>
        <w:t>Présentation peu réaliste d</w:t>
      </w:r>
      <w:r w:rsidR="00B03DBE">
        <w:rPr>
          <w:rFonts w:ascii="Calibri" w:hAnsi="Calibri"/>
        </w:rPr>
        <w:t>’</w:t>
      </w:r>
      <w:r>
        <w:rPr>
          <w:rFonts w:ascii="Calibri" w:hAnsi="Calibri"/>
        </w:rPr>
        <w:t>experts de haut niveau ou de produits de bonne qualité dans une soumission, avec un risque élevé qu</w:t>
      </w:r>
      <w:r w:rsidR="00B03DBE">
        <w:rPr>
          <w:rFonts w:ascii="Calibri" w:hAnsi="Calibri"/>
        </w:rPr>
        <w:t>‘</w:t>
      </w:r>
      <w:r>
        <w:rPr>
          <w:rFonts w:ascii="Calibri" w:hAnsi="Calibri"/>
        </w:rPr>
        <w:t>ils soient remplacés ultérieurement par des experts ou des produits de qualité inférieure</w:t>
      </w:r>
    </w:p>
    <w:p w14:paraId="7FBCB847" w14:textId="77777777" w:rsidR="00C46B39" w:rsidRPr="007E161B" w:rsidRDefault="00C46B39" w:rsidP="00F76234">
      <w:pPr>
        <w:numPr>
          <w:ilvl w:val="0"/>
          <w:numId w:val="23"/>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rPr>
      </w:pPr>
      <w:r>
        <w:rPr>
          <w:rFonts w:ascii="Calibri" w:hAnsi="Calibri"/>
        </w:rPr>
        <w:t>Sous-traitants corrompus</w:t>
      </w:r>
    </w:p>
    <w:p w14:paraId="05F66EA9" w14:textId="77777777" w:rsidR="00C46B39" w:rsidRPr="007E161B" w:rsidRDefault="00C46B39" w:rsidP="00F76234">
      <w:pPr>
        <w:numPr>
          <w:ilvl w:val="0"/>
          <w:numId w:val="23"/>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rPr>
      </w:pPr>
      <w:r>
        <w:rPr>
          <w:rFonts w:ascii="Calibri" w:hAnsi="Calibri"/>
        </w:rPr>
        <w:t>Le contrat diffère de l</w:t>
      </w:r>
      <w:r w:rsidR="00B03DBE">
        <w:rPr>
          <w:rFonts w:ascii="Calibri" w:hAnsi="Calibri"/>
        </w:rPr>
        <w:t>‘</w:t>
      </w:r>
      <w:r>
        <w:rPr>
          <w:rFonts w:ascii="Calibri" w:hAnsi="Calibri"/>
        </w:rPr>
        <w:t>offre ou de la soumission en ce qui concerne les spécifications, les quantités, le niveau d</w:t>
      </w:r>
      <w:r w:rsidR="00B03DBE">
        <w:rPr>
          <w:rFonts w:ascii="Calibri" w:hAnsi="Calibri"/>
        </w:rPr>
        <w:t>‘</w:t>
      </w:r>
      <w:r>
        <w:rPr>
          <w:rFonts w:ascii="Calibri" w:hAnsi="Calibri"/>
        </w:rPr>
        <w:t>effort, le calendrier de livraison et les conditions de paiement</w:t>
      </w:r>
    </w:p>
    <w:p w14:paraId="5A000E67" w14:textId="77777777" w:rsidR="00C46B39" w:rsidRPr="007E161B" w:rsidRDefault="00C46B39" w:rsidP="00F76234">
      <w:pPr>
        <w:numPr>
          <w:ilvl w:val="0"/>
          <w:numId w:val="23"/>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rPr>
      </w:pPr>
      <w:r>
        <w:rPr>
          <w:rFonts w:ascii="Calibri" w:hAnsi="Calibri"/>
        </w:rPr>
        <w:t>Les exigences en matière de suivi et de rapport sont minimisées afin d</w:t>
      </w:r>
      <w:r w:rsidR="00B03DBE">
        <w:rPr>
          <w:rFonts w:ascii="Calibri" w:hAnsi="Calibri"/>
        </w:rPr>
        <w:t>‘</w:t>
      </w:r>
      <w:r>
        <w:rPr>
          <w:rFonts w:ascii="Calibri" w:hAnsi="Calibri"/>
        </w:rPr>
        <w:t>éviter un contrôle de la qualité approprié</w:t>
      </w:r>
    </w:p>
    <w:p w14:paraId="4F356A6C" w14:textId="77777777" w:rsidR="00C46B39" w:rsidRPr="007E161B" w:rsidRDefault="00C46B39" w:rsidP="00F76234">
      <w:pPr>
        <w:numPr>
          <w:ilvl w:val="0"/>
          <w:numId w:val="23"/>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rPr>
      </w:pPr>
      <w:r>
        <w:rPr>
          <w:rFonts w:ascii="Calibri" w:hAnsi="Calibri"/>
        </w:rPr>
        <w:t>Insuffisance du personnel de contrôle</w:t>
      </w:r>
    </w:p>
    <w:p w14:paraId="4F408561" w14:textId="77777777" w:rsidR="00C46B39" w:rsidRPr="007E161B" w:rsidRDefault="00C46B39" w:rsidP="00F76234">
      <w:pPr>
        <w:numPr>
          <w:ilvl w:val="0"/>
          <w:numId w:val="23"/>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rPr>
      </w:pPr>
      <w:r>
        <w:rPr>
          <w:rFonts w:ascii="Calibri" w:hAnsi="Calibri"/>
        </w:rPr>
        <w:t>Acceptation des dépassements de coûts</w:t>
      </w:r>
    </w:p>
    <w:p w14:paraId="7949B366" w14:textId="77777777" w:rsidR="00C46B39" w:rsidRPr="007E161B" w:rsidRDefault="00C46B39" w:rsidP="00F76234">
      <w:pPr>
        <w:numPr>
          <w:ilvl w:val="0"/>
          <w:numId w:val="23"/>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rPr>
      </w:pPr>
      <w:r>
        <w:rPr>
          <w:rFonts w:ascii="Calibri" w:hAnsi="Calibri"/>
        </w:rPr>
        <w:t>Manipulation et destruction de documents justificatifs</w:t>
      </w:r>
    </w:p>
    <w:p w14:paraId="1B74561B" w14:textId="77777777" w:rsidR="00C46B39" w:rsidRPr="007E161B" w:rsidRDefault="00C46B39" w:rsidP="00F76234">
      <w:pPr>
        <w:numPr>
          <w:ilvl w:val="0"/>
          <w:numId w:val="23"/>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rPr>
      </w:pPr>
      <w:r>
        <w:rPr>
          <w:rFonts w:ascii="Calibri" w:hAnsi="Calibri"/>
        </w:rPr>
        <w:t>Fractionnement des contrats et des bons de commande pour éviter un examen minutieux</w:t>
      </w:r>
    </w:p>
    <w:p w14:paraId="5917FBA2" w14:textId="77777777" w:rsidR="00C46B39" w:rsidRPr="007E161B" w:rsidRDefault="00C46B39" w:rsidP="00F76234">
      <w:pPr>
        <w:numPr>
          <w:ilvl w:val="0"/>
          <w:numId w:val="23"/>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rPr>
      </w:pPr>
      <w:r>
        <w:rPr>
          <w:rFonts w:ascii="Calibri" w:hAnsi="Calibri"/>
        </w:rPr>
        <w:t>Prolongation ou modification injustifiée du contrat</w:t>
      </w:r>
    </w:p>
    <w:p w14:paraId="081D6E0A" w14:textId="77777777" w:rsidR="006C0174" w:rsidRPr="007E161B" w:rsidRDefault="006C0174" w:rsidP="005E420F">
      <w:pPr>
        <w:shd w:val="clear" w:color="auto" w:fill="FFFFFF"/>
        <w:spacing w:before="100" w:beforeAutospacing="1" w:after="100" w:afterAutospacing="1" w:line="240" w:lineRule="auto"/>
        <w:ind w:left="720"/>
        <w:textAlignment w:val="top"/>
        <w:rPr>
          <w:rFonts w:ascii="Calibri" w:eastAsia="Times New Roman" w:hAnsi="Calibri" w:cs="Arial"/>
        </w:rPr>
      </w:pPr>
      <w:r>
        <w:rPr>
          <w:rFonts w:ascii="Calibri" w:hAnsi="Calibri"/>
        </w:rPr>
        <w:t>Une vigilance constante s</w:t>
      </w:r>
      <w:r w:rsidR="00B03DBE">
        <w:rPr>
          <w:rFonts w:ascii="Calibri" w:hAnsi="Calibri"/>
        </w:rPr>
        <w:t>’</w:t>
      </w:r>
      <w:r>
        <w:rPr>
          <w:rFonts w:ascii="Calibri" w:hAnsi="Calibri"/>
        </w:rPr>
        <w:t>impose, en mettant l</w:t>
      </w:r>
      <w:r w:rsidR="00B03DBE">
        <w:rPr>
          <w:rFonts w:ascii="Calibri" w:hAnsi="Calibri"/>
        </w:rPr>
        <w:t>‘</w:t>
      </w:r>
      <w:r>
        <w:rPr>
          <w:rFonts w:ascii="Calibri" w:hAnsi="Calibri"/>
        </w:rPr>
        <w:t>accent sur</w:t>
      </w:r>
      <w:r w:rsidR="00D45562">
        <w:rPr>
          <w:rFonts w:ascii="Calibri" w:hAnsi="Calibri"/>
        </w:rPr>
        <w:t> </w:t>
      </w:r>
      <w:r>
        <w:rPr>
          <w:rFonts w:ascii="Calibri" w:hAnsi="Calibri"/>
        </w:rPr>
        <w:t>:</w:t>
      </w:r>
    </w:p>
    <w:p w14:paraId="6C133698" w14:textId="77777777" w:rsidR="006C0174" w:rsidRPr="007E161B" w:rsidRDefault="006C0174" w:rsidP="00F76234">
      <w:pPr>
        <w:numPr>
          <w:ilvl w:val="0"/>
          <w:numId w:val="24"/>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rPr>
      </w:pPr>
      <w:r>
        <w:rPr>
          <w:rFonts w:ascii="Calibri" w:hAnsi="Calibri"/>
        </w:rPr>
        <w:t>Le renforcement d</w:t>
      </w:r>
      <w:r w:rsidR="00B03DBE">
        <w:rPr>
          <w:rFonts w:ascii="Calibri" w:hAnsi="Calibri"/>
        </w:rPr>
        <w:t>‘</w:t>
      </w:r>
      <w:r>
        <w:rPr>
          <w:rFonts w:ascii="Calibri" w:hAnsi="Calibri"/>
        </w:rPr>
        <w:t>un comportement éthique conformément aux politiques du PNUD, appuyé par une formation et des conseils adéquats sur les dilemmes déontologiques</w:t>
      </w:r>
    </w:p>
    <w:p w14:paraId="38225191" w14:textId="77777777" w:rsidR="006C0174" w:rsidRPr="007E161B" w:rsidRDefault="006C0174" w:rsidP="00F76234">
      <w:pPr>
        <w:numPr>
          <w:ilvl w:val="0"/>
          <w:numId w:val="24"/>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rPr>
      </w:pPr>
      <w:r>
        <w:rPr>
          <w:rFonts w:ascii="Calibri" w:hAnsi="Calibri"/>
        </w:rPr>
        <w:t>Une planification adéquate des achats, y compris l</w:t>
      </w:r>
      <w:r w:rsidR="00B03DBE">
        <w:rPr>
          <w:rFonts w:ascii="Calibri" w:hAnsi="Calibri"/>
        </w:rPr>
        <w:t>‘</w:t>
      </w:r>
      <w:r>
        <w:rPr>
          <w:rFonts w:ascii="Calibri" w:hAnsi="Calibri"/>
        </w:rPr>
        <w:t>évaluation des risques</w:t>
      </w:r>
    </w:p>
    <w:p w14:paraId="179FF455" w14:textId="77777777" w:rsidR="006C0174" w:rsidRPr="007E161B" w:rsidRDefault="006C0174" w:rsidP="00F76234">
      <w:pPr>
        <w:numPr>
          <w:ilvl w:val="0"/>
          <w:numId w:val="24"/>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rPr>
      </w:pPr>
      <w:r>
        <w:rPr>
          <w:rFonts w:ascii="Calibri" w:hAnsi="Calibri"/>
        </w:rPr>
        <w:t>Le maintien de la séparation des tâches</w:t>
      </w:r>
    </w:p>
    <w:p w14:paraId="6E6D0D62" w14:textId="77777777" w:rsidR="006C0174" w:rsidRPr="007E161B" w:rsidRDefault="006C0174" w:rsidP="00F76234">
      <w:pPr>
        <w:numPr>
          <w:ilvl w:val="0"/>
          <w:numId w:val="24"/>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rPr>
      </w:pPr>
      <w:r>
        <w:rPr>
          <w:rFonts w:ascii="Calibri" w:hAnsi="Calibri"/>
        </w:rPr>
        <w:lastRenderedPageBreak/>
        <w:t xml:space="preserve">Des procédures transparentes, par exemple </w:t>
      </w:r>
      <w:r w:rsidR="003552A9">
        <w:rPr>
          <w:rFonts w:ascii="Calibri" w:hAnsi="Calibri"/>
        </w:rPr>
        <w:t>le partage</w:t>
      </w:r>
      <w:r>
        <w:rPr>
          <w:rFonts w:ascii="Calibri" w:hAnsi="Calibri"/>
        </w:rPr>
        <w:t xml:space="preserve"> publ</w:t>
      </w:r>
      <w:r w:rsidR="003552A9">
        <w:rPr>
          <w:rFonts w:ascii="Calibri" w:hAnsi="Calibri"/>
        </w:rPr>
        <w:t>ic</w:t>
      </w:r>
      <w:r>
        <w:rPr>
          <w:rFonts w:ascii="Calibri" w:hAnsi="Calibri"/>
        </w:rPr>
        <w:t xml:space="preserve"> </w:t>
      </w:r>
      <w:r w:rsidR="003552A9">
        <w:rPr>
          <w:rFonts w:ascii="Calibri" w:hAnsi="Calibri"/>
        </w:rPr>
        <w:t>d</w:t>
      </w:r>
      <w:r>
        <w:rPr>
          <w:rFonts w:ascii="Calibri" w:hAnsi="Calibri"/>
        </w:rPr>
        <w:t xml:space="preserve">es calendriers et </w:t>
      </w:r>
      <w:r w:rsidR="003552A9">
        <w:rPr>
          <w:rFonts w:ascii="Calibri" w:hAnsi="Calibri"/>
        </w:rPr>
        <w:t>d</w:t>
      </w:r>
      <w:r>
        <w:rPr>
          <w:rFonts w:ascii="Calibri" w:hAnsi="Calibri"/>
        </w:rPr>
        <w:t>es plans d</w:t>
      </w:r>
      <w:r w:rsidR="00B03DBE">
        <w:rPr>
          <w:rFonts w:ascii="Calibri" w:hAnsi="Calibri"/>
        </w:rPr>
        <w:t>‘</w:t>
      </w:r>
      <w:r>
        <w:rPr>
          <w:rFonts w:ascii="Calibri" w:hAnsi="Calibri"/>
        </w:rPr>
        <w:t xml:space="preserve">approvisionnement, </w:t>
      </w:r>
      <w:r w:rsidR="003552A9">
        <w:rPr>
          <w:rFonts w:ascii="Calibri" w:hAnsi="Calibri"/>
        </w:rPr>
        <w:t>d</w:t>
      </w:r>
      <w:r>
        <w:rPr>
          <w:rFonts w:ascii="Calibri" w:hAnsi="Calibri"/>
        </w:rPr>
        <w:t xml:space="preserve">es </w:t>
      </w:r>
      <w:r w:rsidR="003552A9">
        <w:rPr>
          <w:rFonts w:ascii="Calibri" w:hAnsi="Calibri"/>
        </w:rPr>
        <w:t>invitations à soumissionner</w:t>
      </w:r>
      <w:r>
        <w:rPr>
          <w:rFonts w:ascii="Calibri" w:hAnsi="Calibri"/>
        </w:rPr>
        <w:t xml:space="preserve"> et </w:t>
      </w:r>
      <w:r w:rsidR="003552A9">
        <w:rPr>
          <w:rFonts w:ascii="Calibri" w:hAnsi="Calibri"/>
        </w:rPr>
        <w:t>d</w:t>
      </w:r>
      <w:r>
        <w:rPr>
          <w:rFonts w:ascii="Calibri" w:hAnsi="Calibri"/>
        </w:rPr>
        <w:t>es attributions de contrats</w:t>
      </w:r>
    </w:p>
    <w:p w14:paraId="68A764C1" w14:textId="77777777" w:rsidR="006C0174" w:rsidRPr="007E161B" w:rsidRDefault="006C0174" w:rsidP="00F76234">
      <w:pPr>
        <w:numPr>
          <w:ilvl w:val="0"/>
          <w:numId w:val="24"/>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rPr>
      </w:pPr>
      <w:r>
        <w:rPr>
          <w:rFonts w:ascii="Calibri" w:hAnsi="Calibri"/>
        </w:rPr>
        <w:t xml:space="preserve">La supervision, par exemple en procédant à </w:t>
      </w:r>
      <w:r w:rsidR="003552A9">
        <w:rPr>
          <w:rFonts w:ascii="Calibri" w:hAnsi="Calibri"/>
        </w:rPr>
        <w:t xml:space="preserve">des </w:t>
      </w:r>
      <w:r>
        <w:rPr>
          <w:rFonts w:ascii="Calibri" w:hAnsi="Calibri"/>
        </w:rPr>
        <w:t>vérifications ponctuelles régulières des transactions d</w:t>
      </w:r>
      <w:r w:rsidR="00B03DBE">
        <w:rPr>
          <w:rFonts w:ascii="Calibri" w:hAnsi="Calibri"/>
        </w:rPr>
        <w:t>‘</w:t>
      </w:r>
      <w:r>
        <w:rPr>
          <w:rFonts w:ascii="Calibri" w:hAnsi="Calibri"/>
        </w:rPr>
        <w:t xml:space="preserve">approvisionnement et des profils des fournisseurs, et en vérifiant </w:t>
      </w:r>
      <w:r w:rsidR="003552A9">
        <w:rPr>
          <w:rFonts w:ascii="Calibri" w:hAnsi="Calibri"/>
        </w:rPr>
        <w:t xml:space="preserve">les </w:t>
      </w:r>
      <w:r>
        <w:rPr>
          <w:rFonts w:ascii="Calibri" w:hAnsi="Calibri"/>
        </w:rPr>
        <w:t>antécédents</w:t>
      </w:r>
      <w:r w:rsidR="003552A9">
        <w:rPr>
          <w:rFonts w:ascii="Calibri" w:hAnsi="Calibri"/>
        </w:rPr>
        <w:t xml:space="preserve"> de ces derniers</w:t>
      </w:r>
    </w:p>
    <w:p w14:paraId="78D13F90" w14:textId="77777777" w:rsidR="006C0174" w:rsidRPr="007E161B" w:rsidRDefault="006C0174" w:rsidP="00F76234">
      <w:pPr>
        <w:numPr>
          <w:ilvl w:val="0"/>
          <w:numId w:val="24"/>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rPr>
      </w:pPr>
      <w:r>
        <w:rPr>
          <w:rFonts w:ascii="Calibri" w:hAnsi="Calibri"/>
        </w:rPr>
        <w:t>La préparation de rapports annuels sur les activités d</w:t>
      </w:r>
      <w:r w:rsidR="00B03DBE">
        <w:rPr>
          <w:rFonts w:ascii="Calibri" w:hAnsi="Calibri"/>
        </w:rPr>
        <w:t>‘</w:t>
      </w:r>
      <w:r>
        <w:rPr>
          <w:rFonts w:ascii="Calibri" w:hAnsi="Calibri"/>
        </w:rPr>
        <w:t xml:space="preserve">approvisionnement, en accordant une attention particulière au nombre de dérogations, quel que soit le montant concerné, </w:t>
      </w:r>
      <w:r w:rsidR="003552A9">
        <w:rPr>
          <w:rFonts w:ascii="Calibri" w:hAnsi="Calibri"/>
        </w:rPr>
        <w:t xml:space="preserve">le </w:t>
      </w:r>
      <w:r>
        <w:rPr>
          <w:rFonts w:ascii="Calibri" w:hAnsi="Calibri"/>
        </w:rPr>
        <w:t>nombre cumulé de contrats par fournisseur, etc.</w:t>
      </w:r>
    </w:p>
    <w:p w14:paraId="0E807665" w14:textId="77777777" w:rsidR="006C0174" w:rsidRPr="007E161B" w:rsidRDefault="006C0174" w:rsidP="00F76234">
      <w:pPr>
        <w:numPr>
          <w:ilvl w:val="0"/>
          <w:numId w:val="24"/>
        </w:numPr>
        <w:shd w:val="clear" w:color="auto" w:fill="FFFFFF"/>
        <w:tabs>
          <w:tab w:val="clear" w:pos="720"/>
        </w:tabs>
        <w:spacing w:before="240" w:after="100" w:afterAutospacing="1" w:line="240" w:lineRule="auto"/>
        <w:ind w:left="1440"/>
        <w:jc w:val="both"/>
        <w:textAlignment w:val="top"/>
        <w:rPr>
          <w:rFonts w:ascii="Calibri" w:eastAsia="Times New Roman" w:hAnsi="Calibri" w:cs="Arial"/>
        </w:rPr>
      </w:pPr>
      <w:r>
        <w:rPr>
          <w:rFonts w:ascii="Calibri" w:hAnsi="Calibri"/>
        </w:rPr>
        <w:t>Le signalement des cas de fraude et de corruption en temps opportun et de manière précise</w:t>
      </w:r>
    </w:p>
    <w:p w14:paraId="714AB690" w14:textId="77777777" w:rsidR="00E02075" w:rsidRPr="007E161B" w:rsidRDefault="00595FC7" w:rsidP="00E02075">
      <w:pPr>
        <w:shd w:val="clear" w:color="auto" w:fill="FFFFFF"/>
        <w:spacing w:after="0" w:line="240" w:lineRule="auto"/>
        <w:textAlignment w:val="top"/>
        <w:rPr>
          <w:rFonts w:ascii="Calibri" w:eastAsia="Times New Roman" w:hAnsi="Calibri" w:cs="Arial"/>
          <w:vanish/>
        </w:rPr>
      </w:pPr>
      <w:bookmarkStart w:id="1" w:name="Procedures"/>
      <w:bookmarkEnd w:id="1"/>
      <w:r w:rsidRPr="00233F6F">
        <w:rPr>
          <w:rFonts w:ascii="Calibri" w:hAnsi="Calibri"/>
          <w:vanish/>
        </w:rPr>
        <w:t>Élément de structure - Procé</w:t>
      </w:r>
      <w:r w:rsidR="00727B9A" w:rsidRPr="00233F6F">
        <w:rPr>
          <w:rFonts w:ascii="Calibri" w:hAnsi="Calibri"/>
          <w:vanish/>
        </w:rPr>
        <w:t>dures</w:t>
      </w:r>
    </w:p>
    <w:p w14:paraId="5A4AA327" w14:textId="77777777" w:rsidR="00E02075" w:rsidRPr="007E161B" w:rsidRDefault="00E02075" w:rsidP="005E420F">
      <w:pPr>
        <w:pStyle w:val="Head1"/>
        <w:rPr>
          <w:szCs w:val="22"/>
        </w:rPr>
      </w:pPr>
      <w:bookmarkStart w:id="2" w:name="_Toc449604615"/>
      <w:r>
        <w:t xml:space="preserve">Domaines </w:t>
      </w:r>
      <w:r w:rsidR="00741EC9">
        <w:t xml:space="preserve">sensibles </w:t>
      </w:r>
      <w:r>
        <w:t>en matière d</w:t>
      </w:r>
      <w:r w:rsidR="00B03DBE">
        <w:t>‘</w:t>
      </w:r>
      <w:r>
        <w:t>approvisionnement</w:t>
      </w:r>
      <w:bookmarkEnd w:id="2"/>
    </w:p>
    <w:p w14:paraId="7C61FE49" w14:textId="77777777" w:rsidR="00E02075" w:rsidRPr="007E161B" w:rsidRDefault="00E02075" w:rsidP="00233F6F">
      <w:pPr>
        <w:pStyle w:val="ListParagraph"/>
        <w:numPr>
          <w:ilvl w:val="0"/>
          <w:numId w:val="27"/>
        </w:numPr>
        <w:shd w:val="clear" w:color="auto" w:fill="FFFFFF"/>
        <w:spacing w:before="240" w:after="0" w:line="240" w:lineRule="auto"/>
        <w:jc w:val="both"/>
        <w:textAlignment w:val="top"/>
        <w:rPr>
          <w:rFonts w:ascii="Calibri" w:eastAsia="Times New Roman" w:hAnsi="Calibri" w:cs="Arial"/>
        </w:rPr>
      </w:pPr>
      <w:r>
        <w:rPr>
          <w:rFonts w:ascii="Calibri" w:hAnsi="Calibri"/>
          <w:b/>
          <w:bCs/>
          <w:u w:val="single"/>
        </w:rPr>
        <w:t>Conflit d</w:t>
      </w:r>
      <w:r w:rsidR="00B03DBE">
        <w:rPr>
          <w:rFonts w:ascii="Calibri" w:hAnsi="Calibri"/>
          <w:b/>
          <w:bCs/>
          <w:u w:val="single"/>
        </w:rPr>
        <w:t>‘</w:t>
      </w:r>
      <w:r>
        <w:rPr>
          <w:rFonts w:ascii="Calibri" w:hAnsi="Calibri"/>
          <w:b/>
          <w:bCs/>
          <w:u w:val="single"/>
        </w:rPr>
        <w:t>intérêts</w:t>
      </w:r>
      <w:r w:rsidR="00741EC9">
        <w:rPr>
          <w:rFonts w:ascii="Calibri" w:hAnsi="Calibri"/>
          <w:b/>
          <w:bCs/>
          <w:u w:val="single"/>
        </w:rPr>
        <w:t> </w:t>
      </w:r>
      <w:r>
        <w:rPr>
          <w:rFonts w:ascii="Calibri" w:hAnsi="Calibri"/>
          <w:b/>
          <w:bCs/>
          <w:u w:val="single"/>
        </w:rPr>
        <w:t>:</w:t>
      </w:r>
      <w:r w:rsidRPr="004E3E7C">
        <w:rPr>
          <w:rFonts w:ascii="Calibri" w:hAnsi="Calibri"/>
          <w:b/>
          <w:bCs/>
        </w:rPr>
        <w:t xml:space="preserve"> </w:t>
      </w:r>
      <w:r>
        <w:rPr>
          <w:rFonts w:ascii="Calibri" w:hAnsi="Calibri"/>
        </w:rPr>
        <w:t>Toute contribution au processus d</w:t>
      </w:r>
      <w:r w:rsidR="00B03DBE">
        <w:rPr>
          <w:rFonts w:ascii="Calibri" w:hAnsi="Calibri"/>
        </w:rPr>
        <w:t>‘</w:t>
      </w:r>
      <w:r>
        <w:rPr>
          <w:rFonts w:ascii="Calibri" w:hAnsi="Calibri"/>
        </w:rPr>
        <w:t>approvisionnement par une partie ayant des intérêts directs dans le résultat crée un conflit d</w:t>
      </w:r>
      <w:r w:rsidR="00B03DBE">
        <w:rPr>
          <w:rFonts w:ascii="Calibri" w:hAnsi="Calibri"/>
        </w:rPr>
        <w:t>‘</w:t>
      </w:r>
      <w:r>
        <w:rPr>
          <w:rFonts w:ascii="Calibri" w:hAnsi="Calibri"/>
        </w:rPr>
        <w:t>intérêts.</w:t>
      </w:r>
      <w:r w:rsidR="00741EC9">
        <w:rPr>
          <w:rFonts w:ascii="Calibri" w:hAnsi="Calibri"/>
        </w:rPr>
        <w:t xml:space="preserve"> </w:t>
      </w:r>
      <w:r>
        <w:rPr>
          <w:rFonts w:ascii="Calibri" w:hAnsi="Calibri"/>
        </w:rPr>
        <w:t>Les conflits peuvent être réels, perçus ou potentiels. Ils sont les plus graves pendant</w:t>
      </w:r>
      <w:r w:rsidR="00741EC9">
        <w:rPr>
          <w:rFonts w:ascii="Calibri" w:hAnsi="Calibri"/>
        </w:rPr>
        <w:t> </w:t>
      </w:r>
      <w:r>
        <w:rPr>
          <w:rFonts w:ascii="Calibri" w:hAnsi="Calibri"/>
        </w:rPr>
        <w:t>:</w:t>
      </w:r>
    </w:p>
    <w:p w14:paraId="56651EAB" w14:textId="77777777" w:rsidR="00E02075" w:rsidRPr="007E161B" w:rsidRDefault="00741EC9" w:rsidP="00233F6F">
      <w:pPr>
        <w:pStyle w:val="ListParagraph"/>
        <w:numPr>
          <w:ilvl w:val="0"/>
          <w:numId w:val="27"/>
        </w:numPr>
        <w:shd w:val="clear" w:color="auto" w:fill="FFFFFF"/>
        <w:spacing w:before="240" w:after="0" w:line="240" w:lineRule="auto"/>
        <w:jc w:val="both"/>
        <w:textAlignment w:val="top"/>
        <w:rPr>
          <w:rFonts w:ascii="Calibri" w:eastAsia="Times New Roman" w:hAnsi="Calibri" w:cs="Arial"/>
        </w:rPr>
      </w:pPr>
      <w:r>
        <w:rPr>
          <w:rFonts w:ascii="Calibri" w:hAnsi="Calibri"/>
        </w:rPr>
        <w:t>L</w:t>
      </w:r>
      <w:r w:rsidR="00186DE6">
        <w:rPr>
          <w:rFonts w:ascii="Calibri" w:hAnsi="Calibri"/>
        </w:rPr>
        <w:t xml:space="preserve">a </w:t>
      </w:r>
      <w:r w:rsidR="00186DE6">
        <w:rPr>
          <w:rFonts w:ascii="Calibri" w:hAnsi="Calibri"/>
          <w:b/>
          <w:u w:val="single"/>
        </w:rPr>
        <w:t>phase d</w:t>
      </w:r>
      <w:r w:rsidR="00B03DBE">
        <w:rPr>
          <w:rFonts w:ascii="Calibri" w:hAnsi="Calibri"/>
          <w:b/>
          <w:u w:val="single"/>
        </w:rPr>
        <w:t>‘</w:t>
      </w:r>
      <w:r w:rsidR="00186DE6">
        <w:rPr>
          <w:rFonts w:ascii="Calibri" w:hAnsi="Calibri"/>
          <w:b/>
          <w:u w:val="single"/>
        </w:rPr>
        <w:t>élaboration de la stratégie</w:t>
      </w:r>
      <w:r w:rsidR="00186DE6">
        <w:rPr>
          <w:rFonts w:ascii="Calibri" w:hAnsi="Calibri"/>
        </w:rPr>
        <w:t xml:space="preserve">, une étude de marché inadéquate ou biaisée peut limiter la recherche de fournisseurs à certains produits ou fournisseurs. Les exemples comprennent les termes de référence ou les spécifications techniques de la concurrence loyale. </w:t>
      </w:r>
      <w:r w:rsidR="00186DE6">
        <w:rPr>
          <w:rFonts w:ascii="Calibri" w:hAnsi="Calibri"/>
          <w:iCs/>
        </w:rPr>
        <w:t>Tous ceux qui participent à des étapes importantes de l</w:t>
      </w:r>
      <w:r w:rsidR="00B03DBE">
        <w:rPr>
          <w:rFonts w:ascii="Calibri" w:hAnsi="Calibri"/>
          <w:iCs/>
        </w:rPr>
        <w:t>‘</w:t>
      </w:r>
      <w:r w:rsidR="00186DE6">
        <w:rPr>
          <w:rFonts w:ascii="Calibri" w:hAnsi="Calibri"/>
          <w:iCs/>
        </w:rPr>
        <w:t>approvisionnement doivent déclarer à l</w:t>
      </w:r>
      <w:r w:rsidR="00B03DBE">
        <w:rPr>
          <w:rFonts w:ascii="Calibri" w:hAnsi="Calibri"/>
          <w:iCs/>
        </w:rPr>
        <w:t>‘</w:t>
      </w:r>
      <w:r w:rsidR="00186DE6">
        <w:rPr>
          <w:rFonts w:ascii="Calibri" w:hAnsi="Calibri"/>
          <w:iCs/>
        </w:rPr>
        <w:t>avance tous les intérêts, y compris réels, perçus et potentiels.</w:t>
      </w:r>
      <w:r w:rsidR="00CF5FF3">
        <w:rPr>
          <w:rFonts w:ascii="Calibri" w:hAnsi="Calibri"/>
          <w:iCs/>
        </w:rPr>
        <w:t xml:space="preserve"> </w:t>
      </w:r>
      <w:r w:rsidR="00186DE6">
        <w:rPr>
          <w:rFonts w:ascii="Calibri" w:hAnsi="Calibri"/>
          <w:iCs/>
        </w:rPr>
        <w:t>Ils doivent également signer des accords de confidentialité afin de ne pas divulguer les informations reçues pendant le processus.</w:t>
      </w:r>
    </w:p>
    <w:p w14:paraId="0056728C" w14:textId="77777777" w:rsidR="005E420F" w:rsidRPr="00233F6F" w:rsidRDefault="005E420F" w:rsidP="005E420F">
      <w:pPr>
        <w:pStyle w:val="ListParagraph"/>
        <w:shd w:val="clear" w:color="auto" w:fill="FFFFFF"/>
        <w:spacing w:before="240" w:after="0" w:line="240" w:lineRule="auto"/>
        <w:jc w:val="both"/>
        <w:textAlignment w:val="top"/>
        <w:rPr>
          <w:rFonts w:ascii="Calibri" w:eastAsia="Times New Roman" w:hAnsi="Calibri" w:cs="Arial"/>
        </w:rPr>
      </w:pPr>
    </w:p>
    <w:p w14:paraId="0F7511F8" w14:textId="77777777" w:rsidR="005E420F" w:rsidRPr="007E161B" w:rsidRDefault="00E02075" w:rsidP="00233F6F">
      <w:pPr>
        <w:pStyle w:val="ListParagraph"/>
        <w:numPr>
          <w:ilvl w:val="0"/>
          <w:numId w:val="27"/>
        </w:numPr>
        <w:shd w:val="clear" w:color="auto" w:fill="FFFFFF"/>
        <w:spacing w:before="240" w:after="0" w:line="240" w:lineRule="auto"/>
        <w:jc w:val="both"/>
        <w:textAlignment w:val="top"/>
        <w:rPr>
          <w:rFonts w:ascii="Calibri" w:eastAsia="Times New Roman" w:hAnsi="Calibri" w:cs="Arial"/>
        </w:rPr>
      </w:pPr>
      <w:r>
        <w:rPr>
          <w:rFonts w:ascii="Calibri" w:hAnsi="Calibri"/>
          <w:b/>
          <w:u w:val="single"/>
        </w:rPr>
        <w:t>La collusion entre les membres du personnel du PNUD ou entre le personnel du PNUD et les fournisseurs</w:t>
      </w:r>
      <w:r>
        <w:rPr>
          <w:rFonts w:ascii="Calibri" w:hAnsi="Calibri"/>
        </w:rPr>
        <w:t xml:space="preserve"> pourrait impliquer des pots-de-vin ou des commissions illicites, ce qui pourrait amener le personnel du PNUD à intervenir dans le processus, par exemple en limitant la liste des fournisseurs. </w:t>
      </w:r>
      <w:r>
        <w:rPr>
          <w:rFonts w:ascii="Calibri" w:hAnsi="Calibri"/>
          <w:iCs/>
        </w:rPr>
        <w:t xml:space="preserve">Il est essentiel de ne pas autoriser le personnel à travailler seul </w:t>
      </w:r>
      <w:r w:rsidR="001609FF">
        <w:rPr>
          <w:rFonts w:ascii="Calibri" w:hAnsi="Calibri"/>
          <w:iCs/>
        </w:rPr>
        <w:t xml:space="preserve">lors de </w:t>
      </w:r>
      <w:r>
        <w:rPr>
          <w:rFonts w:ascii="Calibri" w:hAnsi="Calibri"/>
          <w:iCs/>
        </w:rPr>
        <w:t>plusieurs phases du processus d</w:t>
      </w:r>
      <w:r w:rsidR="00B03DBE">
        <w:rPr>
          <w:rFonts w:ascii="Calibri" w:hAnsi="Calibri"/>
          <w:iCs/>
        </w:rPr>
        <w:t>‘</w:t>
      </w:r>
      <w:r>
        <w:rPr>
          <w:rFonts w:ascii="Calibri" w:hAnsi="Calibri"/>
          <w:iCs/>
        </w:rPr>
        <w:t>approvisionnement, en particulier lors de l</w:t>
      </w:r>
      <w:r w:rsidR="00B03DBE">
        <w:rPr>
          <w:rFonts w:ascii="Calibri" w:hAnsi="Calibri"/>
          <w:iCs/>
        </w:rPr>
        <w:t>‘</w:t>
      </w:r>
      <w:r>
        <w:rPr>
          <w:rFonts w:ascii="Calibri" w:hAnsi="Calibri"/>
          <w:iCs/>
        </w:rPr>
        <w:t>évaluation des fournisseurs et des négociations avec eux.</w:t>
      </w:r>
    </w:p>
    <w:p w14:paraId="193F17E9" w14:textId="77777777" w:rsidR="005E420F" w:rsidRPr="00233F6F" w:rsidRDefault="005E420F" w:rsidP="005E420F">
      <w:pPr>
        <w:pStyle w:val="ListParagraph"/>
        <w:rPr>
          <w:rFonts w:ascii="Calibri" w:eastAsia="Times New Roman" w:hAnsi="Calibri" w:cs="Arial"/>
        </w:rPr>
      </w:pPr>
    </w:p>
    <w:p w14:paraId="24850C0F" w14:textId="77777777" w:rsidR="005E420F" w:rsidRPr="007E161B" w:rsidRDefault="00E02075" w:rsidP="00233F6F">
      <w:pPr>
        <w:pStyle w:val="ListParagraph"/>
        <w:numPr>
          <w:ilvl w:val="0"/>
          <w:numId w:val="27"/>
        </w:numPr>
        <w:shd w:val="clear" w:color="auto" w:fill="FFFFFF"/>
        <w:spacing w:before="240" w:after="0" w:line="240" w:lineRule="auto"/>
        <w:jc w:val="both"/>
        <w:textAlignment w:val="top"/>
        <w:rPr>
          <w:rFonts w:ascii="Calibri" w:eastAsia="Times New Roman" w:hAnsi="Calibri" w:cs="Arial"/>
        </w:rPr>
      </w:pPr>
      <w:r>
        <w:rPr>
          <w:rFonts w:ascii="Calibri" w:hAnsi="Calibri"/>
        </w:rPr>
        <w:t xml:space="preserve">Lorsque différents fournisseurs ont les mêmes propriétaires ou sont </w:t>
      </w:r>
      <w:r w:rsidR="001609FF">
        <w:rPr>
          <w:rFonts w:ascii="Calibri" w:hAnsi="Calibri"/>
        </w:rPr>
        <w:t xml:space="preserve">autrement </w:t>
      </w:r>
      <w:r>
        <w:rPr>
          <w:rFonts w:ascii="Calibri" w:hAnsi="Calibri"/>
        </w:rPr>
        <w:t>associés, la concurrence peut ne pas être significative.</w:t>
      </w:r>
      <w:r w:rsidR="00844BCB">
        <w:rPr>
          <w:rFonts w:ascii="Calibri" w:hAnsi="Calibri"/>
        </w:rPr>
        <w:t xml:space="preserve"> </w:t>
      </w:r>
      <w:r>
        <w:rPr>
          <w:rFonts w:ascii="Calibri" w:hAnsi="Calibri"/>
        </w:rPr>
        <w:t>Les invitations limitées augmentent l</w:t>
      </w:r>
      <w:r w:rsidR="00B03DBE">
        <w:rPr>
          <w:rFonts w:ascii="Calibri" w:hAnsi="Calibri"/>
        </w:rPr>
        <w:t>‘</w:t>
      </w:r>
      <w:r>
        <w:rPr>
          <w:rFonts w:ascii="Calibri" w:hAnsi="Calibri"/>
        </w:rPr>
        <w:t>exposition à ce risque, puisque les fournisseurs pourraient s</w:t>
      </w:r>
      <w:r w:rsidR="00B03DBE">
        <w:rPr>
          <w:rFonts w:ascii="Calibri" w:hAnsi="Calibri"/>
        </w:rPr>
        <w:t>’</w:t>
      </w:r>
      <w:r>
        <w:rPr>
          <w:rFonts w:ascii="Calibri" w:hAnsi="Calibri"/>
        </w:rPr>
        <w:t>entendre pour influer sur les prix ou les décisions.</w:t>
      </w:r>
      <w:r w:rsidR="00844BCB">
        <w:rPr>
          <w:rFonts w:ascii="Calibri" w:hAnsi="Calibri"/>
        </w:rPr>
        <w:t xml:space="preserve"> </w:t>
      </w:r>
      <w:r>
        <w:rPr>
          <w:rFonts w:ascii="Calibri" w:hAnsi="Calibri"/>
        </w:rPr>
        <w:t>L</w:t>
      </w:r>
      <w:r w:rsidR="00B03DBE">
        <w:rPr>
          <w:rFonts w:ascii="Calibri" w:hAnsi="Calibri"/>
        </w:rPr>
        <w:t>‘</w:t>
      </w:r>
      <w:r>
        <w:rPr>
          <w:rFonts w:ascii="Calibri" w:hAnsi="Calibri"/>
        </w:rPr>
        <w:t>attribution irrégulière du statut de « fournisseur unique » réduit la concurrence et peut conduire à une concurrence déloyale.</w:t>
      </w:r>
    </w:p>
    <w:p w14:paraId="1F2C7340" w14:textId="77777777" w:rsidR="005E420F" w:rsidRPr="00233F6F" w:rsidRDefault="005E420F" w:rsidP="005E420F">
      <w:pPr>
        <w:pStyle w:val="ListParagraph"/>
        <w:rPr>
          <w:rFonts w:ascii="Calibri" w:eastAsia="Times New Roman" w:hAnsi="Calibri" w:cs="Arial"/>
          <w:iCs/>
        </w:rPr>
      </w:pPr>
    </w:p>
    <w:p w14:paraId="074E151A" w14:textId="77777777" w:rsidR="005E420F" w:rsidRPr="007E161B" w:rsidRDefault="00E02075" w:rsidP="00233F6F">
      <w:pPr>
        <w:pStyle w:val="ListParagraph"/>
        <w:numPr>
          <w:ilvl w:val="0"/>
          <w:numId w:val="27"/>
        </w:numPr>
        <w:shd w:val="clear" w:color="auto" w:fill="FFFFFF"/>
        <w:spacing w:before="240" w:after="0" w:line="240" w:lineRule="auto"/>
        <w:jc w:val="both"/>
        <w:textAlignment w:val="top"/>
        <w:rPr>
          <w:rFonts w:ascii="Calibri" w:eastAsia="Times New Roman" w:hAnsi="Calibri" w:cs="Arial"/>
        </w:rPr>
      </w:pPr>
      <w:r>
        <w:rPr>
          <w:rFonts w:ascii="Calibri" w:hAnsi="Calibri"/>
          <w:iCs/>
        </w:rPr>
        <w:t xml:space="preserve">Assurer un </w:t>
      </w:r>
      <w:r w:rsidR="00844BCB">
        <w:rPr>
          <w:rFonts w:ascii="Calibri" w:hAnsi="Calibri"/>
          <w:iCs/>
        </w:rPr>
        <w:t xml:space="preserve">bassin </w:t>
      </w:r>
      <w:r>
        <w:rPr>
          <w:rFonts w:ascii="Calibri" w:hAnsi="Calibri"/>
          <w:iCs/>
        </w:rPr>
        <w:t>important de fournisseurs concurrentiels et éviter les cas de renonciation, en particulier pour les situations à « fournisseur unique ».</w:t>
      </w:r>
      <w:r w:rsidR="00844BCB">
        <w:rPr>
          <w:rFonts w:ascii="Calibri" w:hAnsi="Calibri"/>
          <w:iCs/>
        </w:rPr>
        <w:t xml:space="preserve"> </w:t>
      </w:r>
      <w:r>
        <w:rPr>
          <w:rFonts w:ascii="Calibri" w:hAnsi="Calibri"/>
          <w:iCs/>
        </w:rPr>
        <w:t>Dans de nombreux marchés d</w:t>
      </w:r>
      <w:r w:rsidR="00B03DBE">
        <w:rPr>
          <w:rFonts w:ascii="Calibri" w:hAnsi="Calibri"/>
          <w:iCs/>
        </w:rPr>
        <w:t>‘</w:t>
      </w:r>
      <w:r>
        <w:rPr>
          <w:rFonts w:ascii="Calibri" w:hAnsi="Calibri"/>
          <w:iCs/>
        </w:rPr>
        <w:t>approvisionnement, il peut y avoir des sources limitées, un facteur de risque qui nécessite une analyse minutieuse du marché d</w:t>
      </w:r>
      <w:r w:rsidR="00B03DBE">
        <w:rPr>
          <w:rFonts w:ascii="Calibri" w:hAnsi="Calibri"/>
          <w:iCs/>
        </w:rPr>
        <w:t>‘</w:t>
      </w:r>
      <w:r>
        <w:rPr>
          <w:rFonts w:ascii="Calibri" w:hAnsi="Calibri"/>
          <w:iCs/>
        </w:rPr>
        <w:t>approvisionnement qui doit être bien documentée et soumise</w:t>
      </w:r>
      <w:r w:rsidR="00844BCB">
        <w:rPr>
          <w:rFonts w:ascii="Calibri" w:hAnsi="Calibri"/>
          <w:iCs/>
        </w:rPr>
        <w:t xml:space="preserve"> pour examen</w:t>
      </w:r>
      <w:r>
        <w:rPr>
          <w:rFonts w:ascii="Calibri" w:hAnsi="Calibri"/>
          <w:iCs/>
        </w:rPr>
        <w:t xml:space="preserve"> au comité d</w:t>
      </w:r>
      <w:r w:rsidR="00B03DBE">
        <w:rPr>
          <w:rFonts w:ascii="Calibri" w:hAnsi="Calibri"/>
          <w:iCs/>
        </w:rPr>
        <w:t>‘</w:t>
      </w:r>
      <w:r>
        <w:rPr>
          <w:rFonts w:ascii="Calibri" w:hAnsi="Calibri"/>
          <w:iCs/>
        </w:rPr>
        <w:t>examen des marchés.</w:t>
      </w:r>
    </w:p>
    <w:p w14:paraId="598C386C" w14:textId="77777777" w:rsidR="00541E38" w:rsidRPr="007E161B" w:rsidRDefault="00541E38" w:rsidP="005E420F">
      <w:pPr>
        <w:pStyle w:val="ListParagraph"/>
        <w:shd w:val="clear" w:color="auto" w:fill="FFFFFF"/>
        <w:spacing w:before="240" w:after="0" w:line="240" w:lineRule="auto"/>
        <w:jc w:val="both"/>
        <w:textAlignment w:val="top"/>
        <w:rPr>
          <w:rFonts w:ascii="Calibri" w:eastAsia="Times New Roman" w:hAnsi="Calibri" w:cs="Arial"/>
        </w:rPr>
      </w:pPr>
    </w:p>
    <w:p w14:paraId="735D66FD" w14:textId="77777777" w:rsidR="005E420F" w:rsidRPr="007E161B" w:rsidRDefault="00E02075" w:rsidP="00233F6F">
      <w:pPr>
        <w:pStyle w:val="ListParagraph"/>
        <w:numPr>
          <w:ilvl w:val="0"/>
          <w:numId w:val="27"/>
        </w:numPr>
        <w:shd w:val="clear" w:color="auto" w:fill="FFFFFF"/>
        <w:spacing w:before="240" w:after="0" w:line="240" w:lineRule="auto"/>
        <w:jc w:val="both"/>
        <w:textAlignment w:val="top"/>
        <w:rPr>
          <w:rFonts w:ascii="Calibri" w:eastAsia="Times New Roman" w:hAnsi="Calibri" w:cs="Arial"/>
        </w:rPr>
      </w:pPr>
      <w:r>
        <w:rPr>
          <w:rFonts w:ascii="Calibri" w:hAnsi="Calibri"/>
          <w:iCs/>
        </w:rPr>
        <w:lastRenderedPageBreak/>
        <w:t>Il peut également être possible d</w:t>
      </w:r>
      <w:r w:rsidR="00B03DBE">
        <w:rPr>
          <w:rFonts w:ascii="Calibri" w:hAnsi="Calibri"/>
          <w:iCs/>
        </w:rPr>
        <w:t>‘</w:t>
      </w:r>
      <w:r>
        <w:rPr>
          <w:rFonts w:ascii="Calibri" w:hAnsi="Calibri"/>
          <w:iCs/>
        </w:rPr>
        <w:t xml:space="preserve">envisager des produits ou des services de substitution répondant aux mêmes besoins. Dans certains cas, cela permettra de chercher des fournisseurs sur des marchés plus concurrentiels. Rechercher des fournisseurs potentiels sur le </w:t>
      </w:r>
      <w:r w:rsidR="00C43DE8">
        <w:rPr>
          <w:rFonts w:ascii="Calibri" w:hAnsi="Calibri"/>
          <w:iCs/>
        </w:rPr>
        <w:t>P</w:t>
      </w:r>
      <w:r>
        <w:rPr>
          <w:rFonts w:ascii="Calibri" w:hAnsi="Calibri"/>
          <w:iCs/>
        </w:rPr>
        <w:t xml:space="preserve">ortail mondial pour les fournisseurs des organismes des Nations Unies et publier les </w:t>
      </w:r>
      <w:r w:rsidR="00C43DE8">
        <w:rPr>
          <w:rFonts w:ascii="Calibri" w:hAnsi="Calibri"/>
          <w:iCs/>
        </w:rPr>
        <w:t xml:space="preserve">possibilités </w:t>
      </w:r>
      <w:r>
        <w:rPr>
          <w:rFonts w:ascii="Calibri" w:hAnsi="Calibri"/>
          <w:iCs/>
        </w:rPr>
        <w:t>d</w:t>
      </w:r>
      <w:r w:rsidR="00B03DBE">
        <w:rPr>
          <w:rFonts w:ascii="Calibri" w:hAnsi="Calibri"/>
          <w:iCs/>
        </w:rPr>
        <w:t>‘</w:t>
      </w:r>
      <w:r>
        <w:rPr>
          <w:rFonts w:ascii="Calibri" w:hAnsi="Calibri"/>
          <w:iCs/>
        </w:rPr>
        <w:t>approvisionnement pour permettre un examen public des besoins.</w:t>
      </w:r>
      <w:r w:rsidR="00C43DE8">
        <w:rPr>
          <w:rFonts w:ascii="Calibri" w:hAnsi="Calibri"/>
          <w:iCs/>
        </w:rPr>
        <w:t xml:space="preserve"> </w:t>
      </w:r>
      <w:r>
        <w:rPr>
          <w:rFonts w:ascii="Calibri" w:hAnsi="Calibri"/>
          <w:iCs/>
        </w:rPr>
        <w:t xml:space="preserve">Offrir des </w:t>
      </w:r>
      <w:r w:rsidR="00C43DE8">
        <w:rPr>
          <w:rFonts w:ascii="Calibri" w:hAnsi="Calibri"/>
          <w:iCs/>
        </w:rPr>
        <w:t xml:space="preserve">perspectives </w:t>
      </w:r>
      <w:r>
        <w:rPr>
          <w:rFonts w:ascii="Calibri" w:hAnsi="Calibri"/>
          <w:iCs/>
        </w:rPr>
        <w:t xml:space="preserve">à des </w:t>
      </w:r>
      <w:r w:rsidR="00C43DE8">
        <w:rPr>
          <w:rFonts w:ascii="Calibri" w:hAnsi="Calibri"/>
          <w:iCs/>
        </w:rPr>
        <w:t xml:space="preserve">bassins </w:t>
      </w:r>
      <w:r>
        <w:rPr>
          <w:rFonts w:ascii="Calibri" w:hAnsi="Calibri"/>
          <w:iCs/>
        </w:rPr>
        <w:t>de fournisseurs plus importants.</w:t>
      </w:r>
      <w:r w:rsidR="00C43DE8">
        <w:rPr>
          <w:rFonts w:ascii="Calibri" w:hAnsi="Calibri"/>
          <w:iCs/>
        </w:rPr>
        <w:t xml:space="preserve"> </w:t>
      </w:r>
      <w:r>
        <w:rPr>
          <w:rFonts w:ascii="Calibri" w:hAnsi="Calibri"/>
          <w:iCs/>
        </w:rPr>
        <w:t>Vérifier minutieusement les antécédents des entreprises et rechercher des fournisseurs qui ont des noms différents, mais les mêmes numéros de téléphone, adresses, informations bancaires, propriétaires et gestionnaires.</w:t>
      </w:r>
    </w:p>
    <w:p w14:paraId="6144FD5B" w14:textId="77777777" w:rsidR="005E420F" w:rsidRPr="00233F6F" w:rsidRDefault="005E420F" w:rsidP="005E420F">
      <w:pPr>
        <w:pStyle w:val="ListParagraph"/>
        <w:rPr>
          <w:rFonts w:ascii="Calibri" w:eastAsia="Times New Roman" w:hAnsi="Calibri" w:cs="Arial"/>
          <w:b/>
          <w:bCs/>
          <w:u w:val="single"/>
        </w:rPr>
      </w:pPr>
    </w:p>
    <w:p w14:paraId="2EB8793B" w14:textId="77777777" w:rsidR="005E420F" w:rsidRPr="007E161B" w:rsidRDefault="00E02075" w:rsidP="00233F6F">
      <w:pPr>
        <w:pStyle w:val="ListParagraph"/>
        <w:numPr>
          <w:ilvl w:val="0"/>
          <w:numId w:val="27"/>
        </w:numPr>
        <w:shd w:val="clear" w:color="auto" w:fill="FFFFFF"/>
        <w:spacing w:before="240" w:after="0" w:line="240" w:lineRule="auto"/>
        <w:jc w:val="both"/>
        <w:textAlignment w:val="top"/>
        <w:rPr>
          <w:rFonts w:ascii="Calibri" w:eastAsia="Times New Roman" w:hAnsi="Calibri" w:cs="Arial"/>
        </w:rPr>
      </w:pPr>
      <w:r>
        <w:rPr>
          <w:rFonts w:ascii="Calibri" w:hAnsi="Calibri"/>
          <w:b/>
          <w:u w:val="single"/>
        </w:rPr>
        <w:t>Un avantage indu pour les fournisseurs individuels</w:t>
      </w:r>
      <w:r>
        <w:rPr>
          <w:rFonts w:ascii="Calibri" w:hAnsi="Calibri"/>
        </w:rPr>
        <w:t xml:space="preserve"> signifie que l</w:t>
      </w:r>
      <w:r w:rsidR="00B03DBE">
        <w:rPr>
          <w:rFonts w:ascii="Calibri" w:hAnsi="Calibri"/>
        </w:rPr>
        <w:t>‘</w:t>
      </w:r>
      <w:r>
        <w:rPr>
          <w:rFonts w:ascii="Calibri" w:hAnsi="Calibri"/>
        </w:rPr>
        <w:t>information n</w:t>
      </w:r>
      <w:r w:rsidR="00B03DBE">
        <w:rPr>
          <w:rFonts w:ascii="Calibri" w:hAnsi="Calibri"/>
        </w:rPr>
        <w:t>‘</w:t>
      </w:r>
      <w:r>
        <w:rPr>
          <w:rFonts w:ascii="Calibri" w:hAnsi="Calibri"/>
        </w:rPr>
        <w:t xml:space="preserve">est pas divulguée </w:t>
      </w:r>
      <w:r w:rsidR="00C43DE8">
        <w:rPr>
          <w:rFonts w:ascii="Calibri" w:hAnsi="Calibri"/>
        </w:rPr>
        <w:t>systématiquement</w:t>
      </w:r>
      <w:r>
        <w:rPr>
          <w:rFonts w:ascii="Calibri" w:hAnsi="Calibri"/>
        </w:rPr>
        <w:t xml:space="preserve"> à tous les fournisseurs potentiels durant le processus </w:t>
      </w:r>
      <w:r w:rsidR="009E24DC">
        <w:rPr>
          <w:rFonts w:ascii="Calibri" w:hAnsi="Calibri"/>
        </w:rPr>
        <w:t>d’appel à la concurrence</w:t>
      </w:r>
      <w:r>
        <w:rPr>
          <w:rFonts w:ascii="Calibri" w:hAnsi="Calibri"/>
        </w:rPr>
        <w:t xml:space="preserve"> ou que l</w:t>
      </w:r>
      <w:r w:rsidR="00B03DBE">
        <w:rPr>
          <w:rFonts w:ascii="Calibri" w:hAnsi="Calibri"/>
        </w:rPr>
        <w:t>‘</w:t>
      </w:r>
      <w:r>
        <w:rPr>
          <w:rFonts w:ascii="Calibri" w:hAnsi="Calibri"/>
        </w:rPr>
        <w:t>information interne est divulguée à un fournisseur potentiel ou existant.</w:t>
      </w:r>
      <w:r w:rsidR="008050F9">
        <w:rPr>
          <w:rFonts w:ascii="Calibri" w:hAnsi="Calibri"/>
        </w:rPr>
        <w:t xml:space="preserve"> </w:t>
      </w:r>
      <w:r>
        <w:rPr>
          <w:rFonts w:ascii="Calibri" w:hAnsi="Calibri"/>
        </w:rPr>
        <w:t xml:space="preserve">Autoriser le personnel à agir seul ou à entreprendre des études de marché inefficaces peut donner lieu à un avantage indu. </w:t>
      </w:r>
    </w:p>
    <w:p w14:paraId="760F98DC" w14:textId="77777777" w:rsidR="005E420F" w:rsidRPr="00233F6F" w:rsidRDefault="005E420F" w:rsidP="009E24DC">
      <w:pPr>
        <w:pStyle w:val="ListParagraph"/>
        <w:tabs>
          <w:tab w:val="left" w:pos="2145"/>
        </w:tabs>
        <w:rPr>
          <w:rFonts w:ascii="Calibri" w:eastAsia="Times New Roman" w:hAnsi="Calibri" w:cs="Arial"/>
          <w:iCs/>
        </w:rPr>
      </w:pPr>
    </w:p>
    <w:p w14:paraId="4F681440" w14:textId="77777777" w:rsidR="005E420F" w:rsidRPr="007E161B" w:rsidRDefault="00E02075" w:rsidP="00233F6F">
      <w:pPr>
        <w:pStyle w:val="ListParagraph"/>
        <w:numPr>
          <w:ilvl w:val="0"/>
          <w:numId w:val="27"/>
        </w:numPr>
        <w:shd w:val="clear" w:color="auto" w:fill="FFFFFF"/>
        <w:spacing w:before="240" w:after="0" w:line="240" w:lineRule="auto"/>
        <w:jc w:val="both"/>
        <w:textAlignment w:val="top"/>
        <w:rPr>
          <w:rFonts w:ascii="Calibri" w:eastAsia="Times New Roman" w:hAnsi="Calibri" w:cs="Arial"/>
        </w:rPr>
      </w:pPr>
      <w:r>
        <w:rPr>
          <w:rFonts w:ascii="Calibri" w:hAnsi="Calibri"/>
          <w:iCs/>
        </w:rPr>
        <w:t>Documenter les interactions avec les fournisseurs et les fournisseurs potentiels en présence de plusieurs personnes.</w:t>
      </w:r>
      <w:r w:rsidR="008050F9">
        <w:rPr>
          <w:rFonts w:ascii="Calibri" w:hAnsi="Calibri"/>
          <w:iCs/>
        </w:rPr>
        <w:t xml:space="preserve"> </w:t>
      </w:r>
      <w:r>
        <w:rPr>
          <w:rFonts w:ascii="Calibri" w:hAnsi="Calibri"/>
          <w:iCs/>
        </w:rPr>
        <w:t>Ce</w:t>
      </w:r>
      <w:r w:rsidR="008050F9">
        <w:rPr>
          <w:rFonts w:ascii="Calibri" w:hAnsi="Calibri"/>
          <w:iCs/>
        </w:rPr>
        <w:t>la</w:t>
      </w:r>
      <w:r>
        <w:rPr>
          <w:rFonts w:ascii="Calibri" w:hAnsi="Calibri"/>
          <w:iCs/>
        </w:rPr>
        <w:t xml:space="preserve"> doit devenir une exigence.</w:t>
      </w:r>
      <w:r w:rsidR="008050F9">
        <w:rPr>
          <w:rFonts w:ascii="Calibri" w:hAnsi="Calibri"/>
          <w:iCs/>
        </w:rPr>
        <w:t xml:space="preserve"> </w:t>
      </w:r>
      <w:r>
        <w:rPr>
          <w:rFonts w:ascii="Calibri" w:hAnsi="Calibri"/>
          <w:iCs/>
        </w:rPr>
        <w:t xml:space="preserve">Réaliser des études de marché structurées et bien documentées, </w:t>
      </w:r>
      <w:r w:rsidR="008050F9">
        <w:rPr>
          <w:rFonts w:ascii="Calibri" w:hAnsi="Calibri"/>
          <w:iCs/>
        </w:rPr>
        <w:t xml:space="preserve">autant </w:t>
      </w:r>
      <w:r>
        <w:rPr>
          <w:rFonts w:ascii="Calibri" w:hAnsi="Calibri"/>
          <w:iCs/>
        </w:rPr>
        <w:t>au stade de la planification qu</w:t>
      </w:r>
      <w:r w:rsidR="00B03DBE">
        <w:rPr>
          <w:rFonts w:ascii="Calibri" w:hAnsi="Calibri"/>
          <w:iCs/>
        </w:rPr>
        <w:t>‘</w:t>
      </w:r>
      <w:r>
        <w:rPr>
          <w:rFonts w:ascii="Calibri" w:hAnsi="Calibri"/>
          <w:iCs/>
        </w:rPr>
        <w:t>à l</w:t>
      </w:r>
      <w:r w:rsidR="00B03DBE">
        <w:rPr>
          <w:rFonts w:ascii="Calibri" w:hAnsi="Calibri"/>
          <w:iCs/>
        </w:rPr>
        <w:t>’</w:t>
      </w:r>
      <w:r>
        <w:rPr>
          <w:rFonts w:ascii="Calibri" w:hAnsi="Calibri"/>
          <w:iCs/>
        </w:rPr>
        <w:t>étape d</w:t>
      </w:r>
      <w:r w:rsidR="008050F9">
        <w:rPr>
          <w:rFonts w:ascii="Calibri" w:hAnsi="Calibri"/>
          <w:iCs/>
        </w:rPr>
        <w:t>e l</w:t>
      </w:r>
      <w:r w:rsidR="00B03DBE">
        <w:rPr>
          <w:rFonts w:ascii="Calibri" w:hAnsi="Calibri"/>
          <w:iCs/>
        </w:rPr>
        <w:t>‘</w:t>
      </w:r>
      <w:r>
        <w:rPr>
          <w:rFonts w:ascii="Calibri" w:hAnsi="Calibri"/>
          <w:iCs/>
        </w:rPr>
        <w:t>approvisionnement.</w:t>
      </w:r>
    </w:p>
    <w:p w14:paraId="66DDBD7B" w14:textId="77777777" w:rsidR="005E420F" w:rsidRPr="00233F6F" w:rsidRDefault="005E420F" w:rsidP="005E420F">
      <w:pPr>
        <w:pStyle w:val="ListParagraph"/>
        <w:rPr>
          <w:rFonts w:ascii="Calibri" w:eastAsia="Times New Roman" w:hAnsi="Calibri" w:cs="Arial"/>
          <w:iCs/>
        </w:rPr>
      </w:pPr>
    </w:p>
    <w:p w14:paraId="63BAF68A" w14:textId="77777777" w:rsidR="005E420F" w:rsidRPr="007E161B" w:rsidRDefault="00E02075" w:rsidP="00233F6F">
      <w:pPr>
        <w:pStyle w:val="ListParagraph"/>
        <w:numPr>
          <w:ilvl w:val="0"/>
          <w:numId w:val="27"/>
        </w:numPr>
        <w:shd w:val="clear" w:color="auto" w:fill="FFFFFF"/>
        <w:spacing w:before="240" w:after="0" w:line="240" w:lineRule="auto"/>
        <w:jc w:val="both"/>
        <w:textAlignment w:val="top"/>
        <w:rPr>
          <w:rFonts w:ascii="Calibri" w:eastAsia="Times New Roman" w:hAnsi="Calibri" w:cs="Arial"/>
        </w:rPr>
      </w:pPr>
      <w:r>
        <w:rPr>
          <w:rFonts w:ascii="Calibri" w:hAnsi="Calibri"/>
          <w:iCs/>
        </w:rPr>
        <w:t>Éviter de répondre aux questions des soumissionnaires au téléphone, à moins que la question et les réponses ne soient saisies en détail et partagées par écrit avec les autres soumissionnaires.</w:t>
      </w:r>
    </w:p>
    <w:p w14:paraId="16910AB1" w14:textId="77777777" w:rsidR="005E420F" w:rsidRPr="00233F6F" w:rsidRDefault="005E420F" w:rsidP="005E420F">
      <w:pPr>
        <w:pStyle w:val="ListParagraph"/>
        <w:rPr>
          <w:rFonts w:ascii="Calibri" w:eastAsia="Times New Roman" w:hAnsi="Calibri" w:cs="Arial"/>
          <w:b/>
          <w:bCs/>
          <w:u w:val="single"/>
        </w:rPr>
      </w:pPr>
    </w:p>
    <w:p w14:paraId="5553D3C2" w14:textId="77777777" w:rsidR="005E420F" w:rsidRPr="007E161B" w:rsidRDefault="00E02075" w:rsidP="00233F6F">
      <w:pPr>
        <w:pStyle w:val="ListParagraph"/>
        <w:numPr>
          <w:ilvl w:val="0"/>
          <w:numId w:val="27"/>
        </w:numPr>
        <w:shd w:val="clear" w:color="auto" w:fill="FFFFFF"/>
        <w:spacing w:before="240" w:after="0" w:line="240" w:lineRule="auto"/>
        <w:jc w:val="both"/>
        <w:textAlignment w:val="top"/>
        <w:rPr>
          <w:rFonts w:ascii="Calibri" w:eastAsia="Times New Roman" w:hAnsi="Calibri" w:cs="Arial"/>
        </w:rPr>
      </w:pPr>
      <w:r>
        <w:rPr>
          <w:rFonts w:ascii="Calibri" w:hAnsi="Calibri"/>
          <w:b/>
          <w:u w:val="single"/>
        </w:rPr>
        <w:t>Il est possible de contourner les seuils</w:t>
      </w:r>
      <w:r>
        <w:rPr>
          <w:rFonts w:ascii="Calibri" w:hAnsi="Calibri"/>
        </w:rPr>
        <w:t xml:space="preserve"> pour les appels </w:t>
      </w:r>
      <w:r w:rsidR="008050F9">
        <w:rPr>
          <w:rFonts w:ascii="Calibri" w:hAnsi="Calibri"/>
        </w:rPr>
        <w:t>d</w:t>
      </w:r>
      <w:r w:rsidR="00B03DBE">
        <w:rPr>
          <w:rFonts w:ascii="Calibri" w:hAnsi="Calibri"/>
        </w:rPr>
        <w:t>’</w:t>
      </w:r>
      <w:r w:rsidR="008050F9">
        <w:rPr>
          <w:rFonts w:ascii="Calibri" w:hAnsi="Calibri"/>
        </w:rPr>
        <w:t>offres</w:t>
      </w:r>
      <w:r>
        <w:rPr>
          <w:rFonts w:ascii="Calibri" w:hAnsi="Calibri"/>
        </w:rPr>
        <w:t xml:space="preserve"> officiels et d</w:t>
      </w:r>
      <w:r w:rsidR="00B03DBE">
        <w:rPr>
          <w:rFonts w:ascii="Calibri" w:hAnsi="Calibri"/>
        </w:rPr>
        <w:t>‘</w:t>
      </w:r>
      <w:r>
        <w:rPr>
          <w:rFonts w:ascii="Calibri" w:hAnsi="Calibri"/>
        </w:rPr>
        <w:t>examen par les comités d</w:t>
      </w:r>
      <w:r w:rsidR="00B03DBE">
        <w:rPr>
          <w:rFonts w:ascii="Calibri" w:hAnsi="Calibri"/>
        </w:rPr>
        <w:t>‘</w:t>
      </w:r>
      <w:r>
        <w:rPr>
          <w:rFonts w:ascii="Calibri" w:hAnsi="Calibri"/>
        </w:rPr>
        <w:t>examen des marchés en fractionnant les commandes, en établissant des accords à long terme qui n</w:t>
      </w:r>
      <w:r w:rsidR="00B03DBE">
        <w:rPr>
          <w:rFonts w:ascii="Calibri" w:hAnsi="Calibri"/>
        </w:rPr>
        <w:t>‘</w:t>
      </w:r>
      <w:r>
        <w:rPr>
          <w:rFonts w:ascii="Calibri" w:hAnsi="Calibri"/>
        </w:rPr>
        <w:t xml:space="preserve">ont pas </w:t>
      </w:r>
      <w:r w:rsidR="002419AC">
        <w:rPr>
          <w:rFonts w:ascii="Calibri" w:hAnsi="Calibri"/>
        </w:rPr>
        <w:t xml:space="preserve">de </w:t>
      </w:r>
      <w:r>
        <w:rPr>
          <w:rFonts w:ascii="Calibri" w:hAnsi="Calibri"/>
        </w:rPr>
        <w:t>montant total, et en estimant les coûts au-dessous des coûts réels afin d</w:t>
      </w:r>
      <w:r w:rsidR="00B03DBE">
        <w:rPr>
          <w:rFonts w:ascii="Calibri" w:hAnsi="Calibri"/>
        </w:rPr>
        <w:t>‘</w:t>
      </w:r>
      <w:r>
        <w:rPr>
          <w:rFonts w:ascii="Calibri" w:hAnsi="Calibri"/>
        </w:rPr>
        <w:t xml:space="preserve">obtenir des contrats de faible valeur qui seront ajustés par la suite. Lors de la prolongation </w:t>
      </w:r>
      <w:r w:rsidR="002419AC">
        <w:rPr>
          <w:rFonts w:ascii="Calibri" w:hAnsi="Calibri"/>
        </w:rPr>
        <w:t xml:space="preserve">ou </w:t>
      </w:r>
      <w:r>
        <w:rPr>
          <w:rFonts w:ascii="Calibri" w:hAnsi="Calibri"/>
        </w:rPr>
        <w:t>de la modification des contrats, déterminer l</w:t>
      </w:r>
      <w:r w:rsidR="00B03DBE">
        <w:rPr>
          <w:rFonts w:ascii="Calibri" w:hAnsi="Calibri"/>
        </w:rPr>
        <w:t>‘</w:t>
      </w:r>
      <w:r>
        <w:rPr>
          <w:rFonts w:ascii="Calibri" w:hAnsi="Calibri"/>
        </w:rPr>
        <w:t>historique du contrat, et le montant cumulatif du contrat actuel</w:t>
      </w:r>
      <w:r w:rsidR="002419AC">
        <w:rPr>
          <w:rFonts w:ascii="Calibri" w:hAnsi="Calibri"/>
        </w:rPr>
        <w:t>,</w:t>
      </w:r>
      <w:r>
        <w:rPr>
          <w:rFonts w:ascii="Calibri" w:hAnsi="Calibri"/>
        </w:rPr>
        <w:t xml:space="preserve"> et </w:t>
      </w:r>
      <w:r w:rsidR="002419AC">
        <w:rPr>
          <w:rFonts w:ascii="Calibri" w:hAnsi="Calibri"/>
        </w:rPr>
        <w:t>donner des raisons pour lesquelles</w:t>
      </w:r>
      <w:r>
        <w:rPr>
          <w:rFonts w:ascii="Calibri" w:hAnsi="Calibri"/>
        </w:rPr>
        <w:t xml:space="preserve"> le contrat est prolongé ou modifié.</w:t>
      </w:r>
    </w:p>
    <w:p w14:paraId="0BEFA0CE" w14:textId="77777777" w:rsidR="005E420F" w:rsidRPr="00233F6F" w:rsidRDefault="005E420F" w:rsidP="005E420F">
      <w:pPr>
        <w:pStyle w:val="ListParagraph"/>
        <w:rPr>
          <w:rFonts w:ascii="Calibri" w:eastAsia="Times New Roman" w:hAnsi="Calibri" w:cs="Arial"/>
          <w:iCs/>
        </w:rPr>
      </w:pPr>
    </w:p>
    <w:p w14:paraId="02F8C4D3" w14:textId="1FC039E4" w:rsidR="005E420F" w:rsidRPr="007E161B" w:rsidRDefault="004A5CCF" w:rsidP="00233F6F">
      <w:pPr>
        <w:pStyle w:val="ListParagraph"/>
        <w:numPr>
          <w:ilvl w:val="0"/>
          <w:numId w:val="27"/>
        </w:numPr>
        <w:shd w:val="clear" w:color="auto" w:fill="FFFFFF"/>
        <w:spacing w:before="240" w:after="0" w:line="240" w:lineRule="auto"/>
        <w:jc w:val="both"/>
        <w:textAlignment w:val="top"/>
        <w:rPr>
          <w:rFonts w:ascii="Calibri" w:eastAsia="Times New Roman" w:hAnsi="Calibri" w:cs="Arial"/>
        </w:rPr>
      </w:pPr>
      <w:r>
        <w:rPr>
          <w:rFonts w:ascii="Calibri" w:hAnsi="Calibri"/>
          <w:iCs/>
        </w:rPr>
        <w:t xml:space="preserve">Établir </w:t>
      </w:r>
      <w:r w:rsidR="00772807">
        <w:rPr>
          <w:rFonts w:ascii="Calibri" w:hAnsi="Calibri"/>
          <w:iCs/>
        </w:rPr>
        <w:t xml:space="preserve">des rapports dans </w:t>
      </w:r>
      <w:r w:rsidR="00866FF9">
        <w:rPr>
          <w:rFonts w:ascii="Calibri" w:hAnsi="Calibri"/>
          <w:iCs/>
        </w:rPr>
        <w:t>Quantum</w:t>
      </w:r>
      <w:r w:rsidR="00772807">
        <w:rPr>
          <w:rFonts w:ascii="Calibri" w:hAnsi="Calibri"/>
          <w:iCs/>
        </w:rPr>
        <w:t xml:space="preserve"> pour permettre la création de listes qui impliquent plusieurs commandes du même fournisseur.</w:t>
      </w:r>
      <w:r>
        <w:rPr>
          <w:rFonts w:ascii="Calibri" w:hAnsi="Calibri"/>
          <w:iCs/>
        </w:rPr>
        <w:t xml:space="preserve"> </w:t>
      </w:r>
      <w:r w:rsidR="00772807">
        <w:rPr>
          <w:rFonts w:ascii="Calibri" w:hAnsi="Calibri"/>
          <w:iCs/>
        </w:rPr>
        <w:t xml:space="preserve">Comparer les bons de commande </w:t>
      </w:r>
      <w:r w:rsidR="00866FF9">
        <w:rPr>
          <w:rFonts w:ascii="Calibri" w:hAnsi="Calibri"/>
          <w:iCs/>
        </w:rPr>
        <w:t>Quantum</w:t>
      </w:r>
      <w:r w:rsidR="00772807">
        <w:rPr>
          <w:rFonts w:ascii="Calibri" w:hAnsi="Calibri"/>
          <w:iCs/>
        </w:rPr>
        <w:t xml:space="preserve"> supérieurs au seuil avec les rapports en ligne du comité d</w:t>
      </w:r>
      <w:r w:rsidR="00B03DBE">
        <w:rPr>
          <w:rFonts w:ascii="Calibri" w:hAnsi="Calibri"/>
          <w:iCs/>
        </w:rPr>
        <w:t>‘</w:t>
      </w:r>
      <w:r w:rsidR="00772807">
        <w:rPr>
          <w:rFonts w:ascii="Calibri" w:hAnsi="Calibri"/>
          <w:iCs/>
        </w:rPr>
        <w:t>examen des achats pour une unité administrative donnée.</w:t>
      </w:r>
    </w:p>
    <w:p w14:paraId="1CA378CB" w14:textId="77777777" w:rsidR="005E420F" w:rsidRPr="00233F6F" w:rsidRDefault="005E420F" w:rsidP="007E161B">
      <w:pPr>
        <w:pStyle w:val="ListParagraph"/>
        <w:spacing w:line="240" w:lineRule="auto"/>
        <w:rPr>
          <w:rFonts w:ascii="Calibri" w:eastAsia="Times New Roman" w:hAnsi="Calibri" w:cs="Arial"/>
          <w:b/>
          <w:bCs/>
          <w:u w:val="single"/>
        </w:rPr>
      </w:pPr>
    </w:p>
    <w:p w14:paraId="465DC8AF" w14:textId="77777777" w:rsidR="005E420F" w:rsidRPr="007E161B" w:rsidRDefault="00E02075" w:rsidP="00233F6F">
      <w:pPr>
        <w:pStyle w:val="ListParagraph"/>
        <w:numPr>
          <w:ilvl w:val="0"/>
          <w:numId w:val="27"/>
        </w:numPr>
        <w:shd w:val="clear" w:color="auto" w:fill="FFFFFF"/>
        <w:spacing w:before="240" w:after="0" w:line="240" w:lineRule="auto"/>
        <w:jc w:val="both"/>
        <w:textAlignment w:val="top"/>
        <w:rPr>
          <w:rFonts w:ascii="Calibri" w:eastAsia="Times New Roman" w:hAnsi="Calibri" w:cs="Arial"/>
        </w:rPr>
      </w:pPr>
      <w:r>
        <w:rPr>
          <w:rFonts w:ascii="Calibri" w:hAnsi="Calibri"/>
          <w:b/>
          <w:u w:val="single"/>
        </w:rPr>
        <w:t>Une méconnaissance du marché ou de la nature des biens ou des services achetés</w:t>
      </w:r>
      <w:r>
        <w:rPr>
          <w:rFonts w:ascii="Calibri" w:hAnsi="Calibri"/>
        </w:rPr>
        <w:t xml:space="preserve"> peut conduire à une approche inappropriée du marché, à l</w:t>
      </w:r>
      <w:r w:rsidR="00B03DBE">
        <w:rPr>
          <w:rFonts w:ascii="Calibri" w:hAnsi="Calibri"/>
        </w:rPr>
        <w:t>‘</w:t>
      </w:r>
      <w:r>
        <w:rPr>
          <w:rFonts w:ascii="Calibri" w:hAnsi="Calibri"/>
        </w:rPr>
        <w:t>obtention de biens ou de services de mauvaise qualité, à un manque de rapport qualité-prix, ou à une surfacturation.</w:t>
      </w:r>
    </w:p>
    <w:p w14:paraId="16E8B040" w14:textId="77777777" w:rsidR="005E420F" w:rsidRPr="00233F6F" w:rsidRDefault="005E420F" w:rsidP="007E161B">
      <w:pPr>
        <w:pStyle w:val="ListParagraph"/>
        <w:spacing w:line="240" w:lineRule="auto"/>
        <w:rPr>
          <w:rFonts w:ascii="Calibri" w:eastAsia="Times New Roman" w:hAnsi="Calibri" w:cs="Arial"/>
          <w:iCs/>
        </w:rPr>
      </w:pPr>
    </w:p>
    <w:p w14:paraId="77BE5672" w14:textId="77777777" w:rsidR="005E420F" w:rsidRPr="007E161B" w:rsidRDefault="00E02075" w:rsidP="00233F6F">
      <w:pPr>
        <w:pStyle w:val="ListParagraph"/>
        <w:numPr>
          <w:ilvl w:val="0"/>
          <w:numId w:val="27"/>
        </w:numPr>
        <w:shd w:val="clear" w:color="auto" w:fill="FFFFFF"/>
        <w:spacing w:before="240" w:after="0" w:line="240" w:lineRule="auto"/>
        <w:jc w:val="both"/>
        <w:textAlignment w:val="top"/>
        <w:rPr>
          <w:rFonts w:ascii="Calibri" w:eastAsia="Times New Roman" w:hAnsi="Calibri" w:cs="Arial"/>
        </w:rPr>
      </w:pPr>
      <w:r>
        <w:rPr>
          <w:rFonts w:ascii="Calibri" w:hAnsi="Calibri"/>
          <w:iCs/>
        </w:rPr>
        <w:t>S</w:t>
      </w:r>
      <w:r w:rsidR="00B03DBE">
        <w:rPr>
          <w:rFonts w:ascii="Calibri" w:hAnsi="Calibri"/>
          <w:iCs/>
        </w:rPr>
        <w:t>’</w:t>
      </w:r>
      <w:r>
        <w:rPr>
          <w:rFonts w:ascii="Calibri" w:hAnsi="Calibri"/>
          <w:iCs/>
        </w:rPr>
        <w:t>assurer que les personnes chargées de l</w:t>
      </w:r>
      <w:r w:rsidR="00B03DBE">
        <w:rPr>
          <w:rFonts w:ascii="Calibri" w:hAnsi="Calibri"/>
          <w:iCs/>
        </w:rPr>
        <w:t>’</w:t>
      </w:r>
      <w:r>
        <w:rPr>
          <w:rFonts w:ascii="Calibri" w:hAnsi="Calibri"/>
          <w:iCs/>
        </w:rPr>
        <w:t>approvisionnement ont les connaissances et les compétences adéquates pour faire face au niveau de complexité qu</w:t>
      </w:r>
      <w:r w:rsidR="00B03DBE">
        <w:rPr>
          <w:rFonts w:ascii="Calibri" w:hAnsi="Calibri"/>
          <w:iCs/>
        </w:rPr>
        <w:t>’</w:t>
      </w:r>
      <w:r>
        <w:rPr>
          <w:rFonts w:ascii="Calibri" w:hAnsi="Calibri"/>
          <w:iCs/>
        </w:rPr>
        <w:t>elles doivent traiter.</w:t>
      </w:r>
    </w:p>
    <w:p w14:paraId="5C075364" w14:textId="77777777" w:rsidR="005E420F" w:rsidRPr="00233F6F" w:rsidRDefault="005E420F" w:rsidP="007E161B">
      <w:pPr>
        <w:pStyle w:val="ListParagraph"/>
        <w:spacing w:line="240" w:lineRule="auto"/>
        <w:rPr>
          <w:rFonts w:ascii="Calibri" w:eastAsia="Times New Roman" w:hAnsi="Calibri" w:cs="Arial"/>
          <w:b/>
          <w:bCs/>
          <w:u w:val="single"/>
        </w:rPr>
      </w:pPr>
    </w:p>
    <w:p w14:paraId="20170676" w14:textId="77777777" w:rsidR="005E420F" w:rsidRPr="007E161B" w:rsidRDefault="00E02075" w:rsidP="00233F6F">
      <w:pPr>
        <w:pStyle w:val="ListParagraph"/>
        <w:numPr>
          <w:ilvl w:val="0"/>
          <w:numId w:val="27"/>
        </w:numPr>
        <w:shd w:val="clear" w:color="auto" w:fill="FFFFFF"/>
        <w:spacing w:before="240" w:after="0" w:line="240" w:lineRule="auto"/>
        <w:jc w:val="both"/>
        <w:textAlignment w:val="top"/>
        <w:rPr>
          <w:rFonts w:ascii="Calibri" w:eastAsia="Times New Roman" w:hAnsi="Calibri" w:cs="Arial"/>
        </w:rPr>
      </w:pPr>
      <w:r>
        <w:rPr>
          <w:rFonts w:ascii="Calibri" w:hAnsi="Calibri"/>
          <w:b/>
          <w:u w:val="single"/>
        </w:rPr>
        <w:lastRenderedPageBreak/>
        <w:t>L</w:t>
      </w:r>
      <w:r w:rsidR="00B03DBE">
        <w:rPr>
          <w:rFonts w:ascii="Calibri" w:hAnsi="Calibri"/>
          <w:b/>
          <w:u w:val="single"/>
        </w:rPr>
        <w:t>‘</w:t>
      </w:r>
      <w:r>
        <w:rPr>
          <w:rFonts w:ascii="Calibri" w:hAnsi="Calibri"/>
          <w:b/>
          <w:u w:val="single"/>
        </w:rPr>
        <w:t>hospitalité, les cadeaux et les incitations inappropriés</w:t>
      </w:r>
      <w:r>
        <w:rPr>
          <w:rFonts w:ascii="Calibri" w:hAnsi="Calibri"/>
        </w:rPr>
        <w:t xml:space="preserve"> comprennent des pots-de-vin et des incitations </w:t>
      </w:r>
      <w:r w:rsidR="004A5CCF">
        <w:rPr>
          <w:rFonts w:ascii="Calibri" w:hAnsi="Calibri"/>
        </w:rPr>
        <w:t xml:space="preserve">tels que des biens </w:t>
      </w:r>
      <w:r>
        <w:rPr>
          <w:rFonts w:ascii="Calibri" w:hAnsi="Calibri"/>
        </w:rPr>
        <w:t>gratuits ou à prix réduits et des services privés.</w:t>
      </w:r>
    </w:p>
    <w:p w14:paraId="2E5F9C42" w14:textId="77777777" w:rsidR="005E420F" w:rsidRPr="00233F6F" w:rsidRDefault="005E420F" w:rsidP="007E161B">
      <w:pPr>
        <w:pStyle w:val="ListParagraph"/>
        <w:spacing w:line="240" w:lineRule="auto"/>
        <w:rPr>
          <w:rFonts w:ascii="Calibri" w:eastAsia="Times New Roman" w:hAnsi="Calibri" w:cs="Arial"/>
          <w:iCs/>
        </w:rPr>
      </w:pPr>
    </w:p>
    <w:p w14:paraId="24FA5D14" w14:textId="77777777" w:rsidR="00E02075" w:rsidRPr="007E161B" w:rsidRDefault="00E02075" w:rsidP="00233F6F">
      <w:pPr>
        <w:pStyle w:val="ListParagraph"/>
        <w:numPr>
          <w:ilvl w:val="0"/>
          <w:numId w:val="27"/>
        </w:numPr>
        <w:shd w:val="clear" w:color="auto" w:fill="FFFFFF"/>
        <w:spacing w:before="240" w:after="0" w:line="240" w:lineRule="auto"/>
        <w:jc w:val="both"/>
        <w:textAlignment w:val="top"/>
        <w:rPr>
          <w:rFonts w:ascii="Calibri" w:eastAsia="Times New Roman" w:hAnsi="Calibri" w:cs="Arial"/>
        </w:rPr>
      </w:pPr>
      <w:r>
        <w:rPr>
          <w:rFonts w:ascii="Calibri" w:hAnsi="Calibri"/>
          <w:iCs/>
        </w:rPr>
        <w:t>Surveiller l</w:t>
      </w:r>
      <w:r w:rsidR="00B03DBE">
        <w:rPr>
          <w:rFonts w:ascii="Calibri" w:hAnsi="Calibri"/>
          <w:iCs/>
        </w:rPr>
        <w:t>‘</w:t>
      </w:r>
      <w:r>
        <w:rPr>
          <w:rFonts w:ascii="Calibri" w:hAnsi="Calibri"/>
          <w:iCs/>
        </w:rPr>
        <w:t>hospitalité excessive déguisée en événements d</w:t>
      </w:r>
      <w:r w:rsidR="00B03DBE">
        <w:rPr>
          <w:rFonts w:ascii="Calibri" w:hAnsi="Calibri"/>
          <w:iCs/>
        </w:rPr>
        <w:t>‘</w:t>
      </w:r>
      <w:r>
        <w:rPr>
          <w:rFonts w:ascii="Calibri" w:hAnsi="Calibri"/>
          <w:iCs/>
        </w:rPr>
        <w:t>apprentissage ou de démonstration. Surveiller les contrats structurés autour d</w:t>
      </w:r>
      <w:r w:rsidR="00B03DBE">
        <w:rPr>
          <w:rFonts w:ascii="Calibri" w:hAnsi="Calibri"/>
          <w:iCs/>
        </w:rPr>
        <w:t>’</w:t>
      </w:r>
      <w:r>
        <w:rPr>
          <w:rFonts w:ascii="Calibri" w:hAnsi="Calibri"/>
          <w:iCs/>
        </w:rPr>
        <w:t>avantages comme des billets d</w:t>
      </w:r>
      <w:r w:rsidR="00B03DBE">
        <w:rPr>
          <w:rFonts w:ascii="Calibri" w:hAnsi="Calibri"/>
          <w:iCs/>
        </w:rPr>
        <w:t>’</w:t>
      </w:r>
      <w:r>
        <w:rPr>
          <w:rFonts w:ascii="Calibri" w:hAnsi="Calibri"/>
          <w:iCs/>
        </w:rPr>
        <w:t>agences de voyages gratuits, lorsque ces avantages deviennent un critère d</w:t>
      </w:r>
      <w:r w:rsidR="00B03DBE">
        <w:rPr>
          <w:rFonts w:ascii="Calibri" w:hAnsi="Calibri"/>
          <w:iCs/>
        </w:rPr>
        <w:t>‘</w:t>
      </w:r>
      <w:r>
        <w:rPr>
          <w:rFonts w:ascii="Calibri" w:hAnsi="Calibri"/>
          <w:iCs/>
        </w:rPr>
        <w:t>évaluation clé.</w:t>
      </w:r>
    </w:p>
    <w:p w14:paraId="33D19E96" w14:textId="77777777" w:rsidR="00BA5739" w:rsidRPr="007E161B" w:rsidRDefault="00E02075" w:rsidP="005E420F">
      <w:pPr>
        <w:shd w:val="clear" w:color="auto" w:fill="FFFFFF"/>
        <w:spacing w:before="100" w:beforeAutospacing="1" w:after="100" w:afterAutospacing="1" w:line="240" w:lineRule="auto"/>
        <w:ind w:left="720"/>
        <w:textAlignment w:val="top"/>
        <w:rPr>
          <w:rFonts w:ascii="Calibri" w:eastAsia="Times New Roman" w:hAnsi="Calibri" w:cs="Arial"/>
          <w:b/>
          <w:bCs/>
          <w:u w:val="single"/>
        </w:rPr>
      </w:pPr>
      <w:r>
        <w:rPr>
          <w:rFonts w:ascii="Calibri" w:hAnsi="Calibri"/>
          <w:b/>
          <w:bCs/>
          <w:u w:val="single"/>
        </w:rPr>
        <w:t>Absence de besoin justifié pour les biens ou les services</w:t>
      </w:r>
      <w:r>
        <w:rPr>
          <w:rFonts w:ascii="Calibri" w:hAnsi="Calibri"/>
        </w:rPr>
        <w:t xml:space="preserve"> </w:t>
      </w:r>
    </w:p>
    <w:p w14:paraId="0BBD9D90" w14:textId="77777777" w:rsidR="005E420F" w:rsidRPr="007E161B" w:rsidRDefault="00E02075" w:rsidP="00233F6F">
      <w:pPr>
        <w:pStyle w:val="ListParagraph"/>
        <w:numPr>
          <w:ilvl w:val="0"/>
          <w:numId w:val="27"/>
        </w:numPr>
        <w:shd w:val="clear" w:color="auto" w:fill="FFFFFF"/>
        <w:spacing w:before="240" w:after="0" w:line="240" w:lineRule="auto"/>
        <w:jc w:val="both"/>
        <w:textAlignment w:val="top"/>
        <w:rPr>
          <w:rFonts w:ascii="Calibri" w:eastAsia="Times New Roman" w:hAnsi="Calibri" w:cs="Arial"/>
        </w:rPr>
      </w:pPr>
      <w:r>
        <w:rPr>
          <w:rFonts w:ascii="Calibri" w:hAnsi="Calibri"/>
          <w:iCs/>
        </w:rPr>
        <w:t>Vérifier les stratégies d</w:t>
      </w:r>
      <w:r w:rsidR="00B03DBE">
        <w:rPr>
          <w:rFonts w:ascii="Calibri" w:hAnsi="Calibri"/>
          <w:iCs/>
        </w:rPr>
        <w:t>‘</w:t>
      </w:r>
      <w:r>
        <w:rPr>
          <w:rFonts w:ascii="Calibri" w:hAnsi="Calibri"/>
          <w:iCs/>
        </w:rPr>
        <w:t xml:space="preserve">approvisionnement, les plans et les exigences de </w:t>
      </w:r>
      <w:r w:rsidR="009E24DC">
        <w:rPr>
          <w:rFonts w:ascii="Calibri" w:hAnsi="Calibri"/>
          <w:iCs/>
        </w:rPr>
        <w:t>l’appel à la concurrence</w:t>
      </w:r>
      <w:r>
        <w:rPr>
          <w:rFonts w:ascii="Calibri" w:hAnsi="Calibri"/>
          <w:iCs/>
        </w:rPr>
        <w:t xml:space="preserve"> par rapport aux documents du projet. Demander si la quantité ou la durée semblent appropriées au besoin</w:t>
      </w:r>
      <w:r w:rsidR="00BF5275">
        <w:rPr>
          <w:rFonts w:ascii="Calibri" w:hAnsi="Calibri"/>
        </w:rPr>
        <w:t>.</w:t>
      </w:r>
    </w:p>
    <w:p w14:paraId="04525237" w14:textId="77777777" w:rsidR="005E420F" w:rsidRPr="00233F6F" w:rsidRDefault="005E420F" w:rsidP="007E161B">
      <w:pPr>
        <w:pStyle w:val="ListParagraph"/>
        <w:shd w:val="clear" w:color="auto" w:fill="FFFFFF"/>
        <w:spacing w:before="240" w:after="0" w:line="240" w:lineRule="auto"/>
        <w:jc w:val="both"/>
        <w:textAlignment w:val="top"/>
        <w:rPr>
          <w:rFonts w:ascii="Calibri" w:eastAsia="Times New Roman" w:hAnsi="Calibri" w:cs="Arial"/>
        </w:rPr>
      </w:pPr>
    </w:p>
    <w:p w14:paraId="6528C498" w14:textId="4CA59FAD" w:rsidR="005E420F" w:rsidRPr="00450AB2" w:rsidRDefault="00E02075" w:rsidP="00450AB2">
      <w:pPr>
        <w:pStyle w:val="ListParagraph"/>
        <w:numPr>
          <w:ilvl w:val="0"/>
          <w:numId w:val="27"/>
        </w:numPr>
        <w:shd w:val="clear" w:color="auto" w:fill="FFFFFF"/>
        <w:spacing w:before="240" w:after="0" w:line="240" w:lineRule="auto"/>
        <w:jc w:val="both"/>
        <w:textAlignment w:val="top"/>
        <w:rPr>
          <w:rFonts w:ascii="Calibri" w:eastAsia="Times New Roman" w:hAnsi="Calibri" w:cs="Arial"/>
        </w:rPr>
      </w:pPr>
      <w:r>
        <w:rPr>
          <w:rFonts w:ascii="Calibri" w:hAnsi="Calibri"/>
          <w:b/>
          <w:u w:val="single"/>
        </w:rPr>
        <w:t>Insuffisance des connaissances et des compétences du personnel</w:t>
      </w:r>
      <w:r>
        <w:rPr>
          <w:rFonts w:ascii="Calibri" w:hAnsi="Calibri"/>
        </w:rPr>
        <w:t xml:space="preserve"> L</w:t>
      </w:r>
      <w:r w:rsidR="00B03DBE">
        <w:rPr>
          <w:rFonts w:ascii="Calibri" w:hAnsi="Calibri"/>
        </w:rPr>
        <w:t>‘</w:t>
      </w:r>
      <w:r>
        <w:rPr>
          <w:rFonts w:ascii="Calibri" w:hAnsi="Calibri"/>
        </w:rPr>
        <w:t xml:space="preserve">approvisionnement est une tâche administrative stratégique et complexe qui exige </w:t>
      </w:r>
      <w:r w:rsidR="00B53D03">
        <w:rPr>
          <w:rFonts w:ascii="Calibri" w:hAnsi="Calibri"/>
        </w:rPr>
        <w:t xml:space="preserve">une expertise à de nombreux </w:t>
      </w:r>
      <w:r>
        <w:rPr>
          <w:rFonts w:ascii="Calibri" w:hAnsi="Calibri"/>
        </w:rPr>
        <w:t>niveaux.</w:t>
      </w:r>
      <w:r w:rsidR="00B53D03">
        <w:rPr>
          <w:rFonts w:ascii="Calibri" w:hAnsi="Calibri"/>
        </w:rPr>
        <w:t xml:space="preserve"> </w:t>
      </w:r>
      <w:r>
        <w:rPr>
          <w:rFonts w:ascii="Calibri" w:hAnsi="Calibri"/>
        </w:rPr>
        <w:t>De faibles niveaux de compétence augmentent l</w:t>
      </w:r>
      <w:r w:rsidR="00B03DBE">
        <w:rPr>
          <w:rFonts w:ascii="Calibri" w:hAnsi="Calibri"/>
        </w:rPr>
        <w:t>‘</w:t>
      </w:r>
      <w:r>
        <w:rPr>
          <w:rFonts w:ascii="Calibri" w:hAnsi="Calibri"/>
        </w:rPr>
        <w:t>exposition aux risques, en particulier la fraude des fournisseurs. C</w:t>
      </w:r>
      <w:r w:rsidR="00B03DBE">
        <w:rPr>
          <w:rFonts w:ascii="Calibri" w:hAnsi="Calibri"/>
        </w:rPr>
        <w:t>‘</w:t>
      </w:r>
      <w:r>
        <w:rPr>
          <w:rFonts w:ascii="Calibri" w:hAnsi="Calibri"/>
        </w:rPr>
        <w:t>est particulièrement le cas dans les situations d</w:t>
      </w:r>
      <w:r w:rsidR="00B03DBE">
        <w:rPr>
          <w:rFonts w:ascii="Calibri" w:hAnsi="Calibri"/>
        </w:rPr>
        <w:t>‘</w:t>
      </w:r>
      <w:r>
        <w:rPr>
          <w:rFonts w:ascii="Calibri" w:hAnsi="Calibri"/>
        </w:rPr>
        <w:t xml:space="preserve">urgence, où le PNUD peut être amené à entreprendre des activités </w:t>
      </w:r>
      <w:r w:rsidR="00B53D03">
        <w:rPr>
          <w:rFonts w:ascii="Calibri" w:hAnsi="Calibri"/>
        </w:rPr>
        <w:t xml:space="preserve">considérables </w:t>
      </w:r>
      <w:r>
        <w:rPr>
          <w:rFonts w:ascii="Calibri" w:hAnsi="Calibri"/>
        </w:rPr>
        <w:t>avec un personnel réduit en un temps limité.</w:t>
      </w:r>
      <w:r w:rsidR="00450AB2">
        <w:rPr>
          <w:rFonts w:ascii="Calibri" w:hAnsi="Calibri"/>
        </w:rPr>
        <w:t xml:space="preserve"> </w:t>
      </w:r>
      <w:r w:rsidRPr="00450AB2">
        <w:rPr>
          <w:rFonts w:ascii="Calibri" w:hAnsi="Calibri"/>
        </w:rPr>
        <w:t>Utiliser la planification des approvisionnements avec l</w:t>
      </w:r>
      <w:r w:rsidR="00B03DBE" w:rsidRPr="00450AB2">
        <w:rPr>
          <w:rFonts w:ascii="Calibri" w:hAnsi="Calibri"/>
        </w:rPr>
        <w:t>’</w:t>
      </w:r>
      <w:r w:rsidRPr="00450AB2">
        <w:rPr>
          <w:rFonts w:ascii="Calibri" w:hAnsi="Calibri"/>
        </w:rPr>
        <w:t>évaluation du positionnement et des risques des fournisseurs pour aider à déterminer la nature des compétences requises pour des transactions d</w:t>
      </w:r>
      <w:r w:rsidR="00B03DBE" w:rsidRPr="00450AB2">
        <w:rPr>
          <w:rFonts w:ascii="Calibri" w:hAnsi="Calibri"/>
        </w:rPr>
        <w:t>‘</w:t>
      </w:r>
      <w:r w:rsidRPr="00450AB2">
        <w:rPr>
          <w:rFonts w:ascii="Calibri" w:hAnsi="Calibri"/>
        </w:rPr>
        <w:t>approvisionnement particulières.</w:t>
      </w:r>
      <w:r w:rsidRPr="00450AB2">
        <w:rPr>
          <w:rFonts w:ascii="Calibri" w:hAnsi="Calibri"/>
          <w:iCs/>
        </w:rPr>
        <w:t xml:space="preserve"> Utiliser des manifestations d</w:t>
      </w:r>
      <w:r w:rsidR="00B03DBE" w:rsidRPr="00450AB2">
        <w:rPr>
          <w:rFonts w:ascii="Calibri" w:hAnsi="Calibri"/>
          <w:iCs/>
        </w:rPr>
        <w:t>‘</w:t>
      </w:r>
      <w:r w:rsidRPr="00450AB2">
        <w:rPr>
          <w:rFonts w:ascii="Calibri" w:hAnsi="Calibri"/>
          <w:iCs/>
        </w:rPr>
        <w:t>intérêt et des études de marché bien documentées pour recueillir des renseignements sur les besoins.</w:t>
      </w:r>
      <w:r w:rsidR="00B53D03" w:rsidRPr="00450AB2">
        <w:rPr>
          <w:rFonts w:ascii="Calibri" w:hAnsi="Calibri"/>
          <w:iCs/>
        </w:rPr>
        <w:t xml:space="preserve"> </w:t>
      </w:r>
      <w:r w:rsidRPr="00450AB2">
        <w:rPr>
          <w:rFonts w:ascii="Calibri" w:hAnsi="Calibri"/>
          <w:iCs/>
        </w:rPr>
        <w:t>Le projet SURGE du PNUD, le PNUD et les spécialistes itinérants des approvisionnements sont disponibles pour aider les bureaux de pays ayant des besoins à court terme.</w:t>
      </w:r>
    </w:p>
    <w:p w14:paraId="680AF965" w14:textId="77777777" w:rsidR="005E420F" w:rsidRPr="00233F6F" w:rsidRDefault="005E420F" w:rsidP="007E161B">
      <w:pPr>
        <w:pStyle w:val="ListParagraph"/>
        <w:spacing w:line="240" w:lineRule="auto"/>
        <w:rPr>
          <w:rFonts w:ascii="Calibri" w:eastAsia="Times New Roman" w:hAnsi="Calibri" w:cs="Arial"/>
          <w:b/>
          <w:bCs/>
          <w:u w:val="single"/>
        </w:rPr>
      </w:pPr>
    </w:p>
    <w:p w14:paraId="080E9367" w14:textId="77777777" w:rsidR="00E02075" w:rsidRPr="007E161B" w:rsidRDefault="00E02075" w:rsidP="00233F6F">
      <w:pPr>
        <w:pStyle w:val="ListParagraph"/>
        <w:numPr>
          <w:ilvl w:val="0"/>
          <w:numId w:val="27"/>
        </w:numPr>
        <w:shd w:val="clear" w:color="auto" w:fill="FFFFFF"/>
        <w:spacing w:before="240" w:after="0" w:line="240" w:lineRule="auto"/>
        <w:jc w:val="both"/>
        <w:textAlignment w:val="top"/>
        <w:rPr>
          <w:rFonts w:ascii="Calibri" w:eastAsia="Times New Roman" w:hAnsi="Calibri" w:cs="Arial"/>
        </w:rPr>
      </w:pPr>
      <w:r>
        <w:rPr>
          <w:rFonts w:ascii="Calibri" w:hAnsi="Calibri"/>
          <w:b/>
          <w:u w:val="single"/>
        </w:rPr>
        <w:t>Des raccourcis</w:t>
      </w:r>
      <w:r>
        <w:rPr>
          <w:rFonts w:ascii="Calibri" w:hAnsi="Calibri"/>
        </w:rPr>
        <w:t xml:space="preserve"> limitent le délai de soumission des offres et des manifestations d</w:t>
      </w:r>
      <w:r w:rsidR="00B03DBE">
        <w:rPr>
          <w:rFonts w:ascii="Calibri" w:hAnsi="Calibri"/>
        </w:rPr>
        <w:t>‘</w:t>
      </w:r>
      <w:r>
        <w:rPr>
          <w:rFonts w:ascii="Calibri" w:hAnsi="Calibri"/>
        </w:rPr>
        <w:t>intérêt ou des demandes de prix inappropriées. Les risques de fraude augmentent de façon considérable, car les fournisseurs et le personnel du PNUD agissent sur la base d</w:t>
      </w:r>
      <w:r w:rsidR="00B03DBE">
        <w:rPr>
          <w:rFonts w:ascii="Calibri" w:hAnsi="Calibri"/>
        </w:rPr>
        <w:t>’</w:t>
      </w:r>
      <w:r>
        <w:rPr>
          <w:rFonts w:ascii="Calibri" w:hAnsi="Calibri"/>
        </w:rPr>
        <w:t>informations insuffisantes. Ceci est un risque majeur</w:t>
      </w:r>
      <w:r w:rsidR="00B53D03">
        <w:rPr>
          <w:rFonts w:ascii="Calibri" w:hAnsi="Calibri"/>
        </w:rPr>
        <w:t>,</w:t>
      </w:r>
      <w:r>
        <w:rPr>
          <w:rFonts w:ascii="Calibri" w:hAnsi="Calibri"/>
        </w:rPr>
        <w:t xml:space="preserve"> en particulier dans les situations d</w:t>
      </w:r>
      <w:r w:rsidR="00B03DBE">
        <w:rPr>
          <w:rFonts w:ascii="Calibri" w:hAnsi="Calibri"/>
        </w:rPr>
        <w:t>‘</w:t>
      </w:r>
      <w:r>
        <w:rPr>
          <w:rFonts w:ascii="Calibri" w:hAnsi="Calibri"/>
        </w:rPr>
        <w:t xml:space="preserve">urgence. </w:t>
      </w:r>
      <w:r>
        <w:rPr>
          <w:rFonts w:ascii="Calibri" w:hAnsi="Calibri"/>
          <w:iCs/>
        </w:rPr>
        <w:t>Prendre le temps d</w:t>
      </w:r>
      <w:r w:rsidR="00B03DBE">
        <w:rPr>
          <w:rFonts w:ascii="Calibri" w:hAnsi="Calibri"/>
          <w:iCs/>
        </w:rPr>
        <w:t>‘</w:t>
      </w:r>
      <w:r>
        <w:rPr>
          <w:rFonts w:ascii="Calibri" w:hAnsi="Calibri"/>
          <w:iCs/>
        </w:rPr>
        <w:t>évaluer la nature des défis en matière d</w:t>
      </w:r>
      <w:r w:rsidR="00B03DBE">
        <w:rPr>
          <w:rFonts w:ascii="Calibri" w:hAnsi="Calibri"/>
          <w:iCs/>
        </w:rPr>
        <w:t>‘</w:t>
      </w:r>
      <w:r>
        <w:rPr>
          <w:rFonts w:ascii="Calibri" w:hAnsi="Calibri"/>
          <w:iCs/>
        </w:rPr>
        <w:t>approvisionnement et des risques associés et planifier en conséquence. Consacrer du temps à l</w:t>
      </w:r>
      <w:r w:rsidR="00B03DBE">
        <w:rPr>
          <w:rFonts w:ascii="Calibri" w:hAnsi="Calibri"/>
          <w:iCs/>
        </w:rPr>
        <w:t>‘</w:t>
      </w:r>
      <w:r>
        <w:rPr>
          <w:rFonts w:ascii="Calibri" w:hAnsi="Calibri"/>
          <w:iCs/>
        </w:rPr>
        <w:t>analyse et à la planification initiales permettra de gagner du temps même dans les situations d</w:t>
      </w:r>
      <w:r w:rsidR="00B03DBE">
        <w:rPr>
          <w:rFonts w:ascii="Calibri" w:hAnsi="Calibri"/>
          <w:iCs/>
        </w:rPr>
        <w:t>‘</w:t>
      </w:r>
      <w:r>
        <w:rPr>
          <w:rFonts w:ascii="Calibri" w:hAnsi="Calibri"/>
          <w:iCs/>
        </w:rPr>
        <w:t>urgence, et d</w:t>
      </w:r>
      <w:r w:rsidR="00B03DBE">
        <w:rPr>
          <w:rFonts w:ascii="Calibri" w:hAnsi="Calibri"/>
          <w:iCs/>
        </w:rPr>
        <w:t>‘</w:t>
      </w:r>
      <w:r>
        <w:rPr>
          <w:rFonts w:ascii="Calibri" w:hAnsi="Calibri"/>
          <w:iCs/>
        </w:rPr>
        <w:t>atténuer les risques.</w:t>
      </w:r>
      <w:bookmarkStart w:id="3" w:name="Deliverables"/>
      <w:bookmarkEnd w:id="3"/>
    </w:p>
    <w:p w14:paraId="323985A0" w14:textId="77777777" w:rsidR="00E02075" w:rsidRPr="007E161B" w:rsidRDefault="00595FC7" w:rsidP="005E420F">
      <w:pPr>
        <w:pStyle w:val="ListParagraph"/>
        <w:numPr>
          <w:ilvl w:val="0"/>
          <w:numId w:val="25"/>
        </w:numPr>
        <w:shd w:val="clear" w:color="auto" w:fill="FFFFFF"/>
        <w:spacing w:after="0" w:line="240" w:lineRule="auto"/>
        <w:ind w:left="1800"/>
        <w:textAlignment w:val="top"/>
        <w:rPr>
          <w:rFonts w:ascii="Calibri" w:eastAsia="Times New Roman" w:hAnsi="Calibri" w:cs="Arial"/>
          <w:vanish/>
        </w:rPr>
      </w:pPr>
      <w:bookmarkStart w:id="4" w:name="RolesResponsibilities"/>
      <w:bookmarkEnd w:id="4"/>
      <w:r w:rsidRPr="00233F6F">
        <w:rPr>
          <w:rFonts w:ascii="Calibri" w:hAnsi="Calibri"/>
          <w:vanish/>
        </w:rPr>
        <w:t>Élément de structure – Rôles et responsabilités</w:t>
      </w:r>
    </w:p>
    <w:p w14:paraId="63C80F3C" w14:textId="77777777" w:rsidR="00E02075" w:rsidRPr="007E161B" w:rsidRDefault="00E02075" w:rsidP="005E420F">
      <w:pPr>
        <w:numPr>
          <w:ilvl w:val="0"/>
          <w:numId w:val="25"/>
        </w:numPr>
        <w:shd w:val="clear" w:color="auto" w:fill="FFFFFF"/>
        <w:spacing w:before="100" w:beforeAutospacing="1" w:after="100" w:afterAutospacing="1" w:line="240" w:lineRule="auto"/>
        <w:ind w:left="1800"/>
        <w:textAlignment w:val="top"/>
        <w:rPr>
          <w:rFonts w:ascii="Calibri" w:eastAsia="Times New Roman" w:hAnsi="Calibri" w:cs="Arial"/>
        </w:rPr>
      </w:pPr>
      <w:r>
        <w:rPr>
          <w:rFonts w:ascii="Calibri" w:hAnsi="Calibri"/>
        </w:rPr>
        <w:t>Formulaire de divulgation financière (en construction)</w:t>
      </w:r>
    </w:p>
    <w:p w14:paraId="0CFD4EE9" w14:textId="77777777" w:rsidR="00E02075" w:rsidRPr="007E161B" w:rsidRDefault="00E02075" w:rsidP="005E420F">
      <w:pPr>
        <w:numPr>
          <w:ilvl w:val="0"/>
          <w:numId w:val="25"/>
        </w:numPr>
        <w:shd w:val="clear" w:color="auto" w:fill="FFFFFF"/>
        <w:spacing w:before="100" w:beforeAutospacing="1" w:after="100" w:afterAutospacing="1" w:line="240" w:lineRule="auto"/>
        <w:ind w:left="1800"/>
        <w:textAlignment w:val="top"/>
        <w:rPr>
          <w:rFonts w:ascii="Calibri" w:eastAsia="Times New Roman" w:hAnsi="Calibri" w:cs="Arial"/>
        </w:rPr>
      </w:pPr>
      <w:r>
        <w:rPr>
          <w:rFonts w:ascii="Calibri" w:hAnsi="Calibri"/>
        </w:rPr>
        <w:t>Déclaration d</w:t>
      </w:r>
      <w:r w:rsidR="00B03DBE">
        <w:rPr>
          <w:rFonts w:ascii="Calibri" w:hAnsi="Calibri"/>
        </w:rPr>
        <w:t>‘</w:t>
      </w:r>
      <w:r>
        <w:rPr>
          <w:rFonts w:ascii="Calibri" w:hAnsi="Calibri"/>
        </w:rPr>
        <w:t>intérêt (en construction)</w:t>
      </w:r>
    </w:p>
    <w:p w14:paraId="6CC8F983" w14:textId="77777777" w:rsidR="00E02075" w:rsidRDefault="00E02075" w:rsidP="005E420F">
      <w:pPr>
        <w:numPr>
          <w:ilvl w:val="0"/>
          <w:numId w:val="25"/>
        </w:numPr>
        <w:shd w:val="clear" w:color="auto" w:fill="FFFFFF"/>
        <w:spacing w:before="100" w:beforeAutospacing="1" w:after="100" w:afterAutospacing="1" w:line="240" w:lineRule="auto"/>
        <w:ind w:left="1800"/>
        <w:textAlignment w:val="top"/>
        <w:rPr>
          <w:rFonts w:ascii="Calibri" w:eastAsia="Times New Roman" w:hAnsi="Calibri" w:cs="Arial"/>
        </w:rPr>
      </w:pPr>
      <w:r>
        <w:rPr>
          <w:rFonts w:ascii="Calibri" w:hAnsi="Calibri"/>
        </w:rPr>
        <w:t>Déclaration d</w:t>
      </w:r>
      <w:r w:rsidR="00B03DBE">
        <w:rPr>
          <w:rFonts w:ascii="Calibri" w:hAnsi="Calibri"/>
        </w:rPr>
        <w:t>‘</w:t>
      </w:r>
      <w:r>
        <w:rPr>
          <w:rFonts w:ascii="Calibri" w:hAnsi="Calibri"/>
        </w:rPr>
        <w:t>impartialité</w:t>
      </w:r>
    </w:p>
    <w:p w14:paraId="7519119F" w14:textId="77777777" w:rsidR="005B5049" w:rsidRPr="0023369E" w:rsidRDefault="00000000" w:rsidP="005B5049">
      <w:pPr>
        <w:numPr>
          <w:ilvl w:val="2"/>
          <w:numId w:val="25"/>
        </w:numPr>
        <w:shd w:val="clear" w:color="auto" w:fill="FFFFFF"/>
        <w:spacing w:before="100" w:beforeAutospacing="1" w:after="100" w:afterAutospacing="1" w:line="240" w:lineRule="auto"/>
        <w:textAlignment w:val="top"/>
        <w:rPr>
          <w:rFonts w:ascii="Calibri" w:eastAsia="Times New Roman" w:hAnsi="Calibri" w:cs="Arial"/>
          <w:u w:val="single"/>
        </w:rPr>
      </w:pPr>
      <w:hyperlink r:id="rId14" w:history="1">
        <w:r w:rsidR="00105826" w:rsidRPr="0023369E">
          <w:rPr>
            <w:rStyle w:val="Hyperlink"/>
            <w:rFonts w:ascii="Calibri" w:hAnsi="Calibri"/>
          </w:rPr>
          <w:t>anglais</w:t>
        </w:r>
      </w:hyperlink>
      <w:r w:rsidR="00105826" w:rsidRPr="0023369E">
        <w:rPr>
          <w:rFonts w:ascii="Calibri" w:hAnsi="Calibri"/>
          <w:u w:val="single"/>
        </w:rPr>
        <w:t xml:space="preserve"> </w:t>
      </w:r>
    </w:p>
    <w:p w14:paraId="5DC5E47D" w14:textId="77777777" w:rsidR="005B5049" w:rsidRPr="0023369E" w:rsidRDefault="00000000" w:rsidP="005B5049">
      <w:pPr>
        <w:numPr>
          <w:ilvl w:val="2"/>
          <w:numId w:val="25"/>
        </w:numPr>
        <w:shd w:val="clear" w:color="auto" w:fill="FFFFFF"/>
        <w:spacing w:before="100" w:beforeAutospacing="1" w:after="100" w:afterAutospacing="1" w:line="240" w:lineRule="auto"/>
        <w:textAlignment w:val="top"/>
        <w:rPr>
          <w:rFonts w:ascii="Calibri" w:eastAsia="Times New Roman" w:hAnsi="Calibri" w:cs="Arial"/>
          <w:u w:val="single"/>
        </w:rPr>
      </w:pPr>
      <w:hyperlink r:id="rId15" w:history="1">
        <w:r w:rsidR="00105826" w:rsidRPr="0023369E">
          <w:rPr>
            <w:rStyle w:val="Hyperlink"/>
            <w:rFonts w:ascii="Calibri" w:hAnsi="Calibri"/>
          </w:rPr>
          <w:t>français</w:t>
        </w:r>
      </w:hyperlink>
      <w:r w:rsidR="00105826" w:rsidRPr="0023369E">
        <w:rPr>
          <w:rFonts w:ascii="Calibri" w:hAnsi="Calibri"/>
          <w:u w:val="single"/>
        </w:rPr>
        <w:t xml:space="preserve"> </w:t>
      </w:r>
    </w:p>
    <w:p w14:paraId="0BDB86A0" w14:textId="399CA490" w:rsidR="005B5049" w:rsidRPr="0023369E" w:rsidRDefault="007852D1" w:rsidP="005B5049">
      <w:pPr>
        <w:numPr>
          <w:ilvl w:val="2"/>
          <w:numId w:val="25"/>
        </w:numPr>
        <w:shd w:val="clear" w:color="auto" w:fill="FFFFFF"/>
        <w:spacing w:before="100" w:beforeAutospacing="1" w:after="100" w:afterAutospacing="1" w:line="240" w:lineRule="auto"/>
        <w:textAlignment w:val="top"/>
        <w:rPr>
          <w:rStyle w:val="Hyperlink"/>
          <w:rFonts w:ascii="Calibri" w:eastAsia="Times New Roman" w:hAnsi="Calibri" w:cs="Arial"/>
        </w:rPr>
      </w:pPr>
      <w:r w:rsidRPr="0023369E">
        <w:rPr>
          <w:rFonts w:ascii="Calibri" w:hAnsi="Calibri"/>
          <w:u w:val="single"/>
        </w:rPr>
        <w:fldChar w:fldCharType="begin"/>
      </w:r>
      <w:r w:rsidRPr="0023369E">
        <w:rPr>
          <w:rFonts w:ascii="Calibri" w:hAnsi="Calibri"/>
          <w:u w:val="single"/>
        </w:rPr>
        <w:instrText xml:space="preserve"> HYPERLINK "https://popp.undp.org/es/node/5231" </w:instrText>
      </w:r>
      <w:r w:rsidRPr="0023369E">
        <w:rPr>
          <w:rFonts w:ascii="Calibri" w:hAnsi="Calibri"/>
          <w:u w:val="single"/>
        </w:rPr>
      </w:r>
      <w:r w:rsidRPr="0023369E">
        <w:rPr>
          <w:rFonts w:ascii="Calibri" w:hAnsi="Calibri"/>
          <w:u w:val="single"/>
        </w:rPr>
        <w:fldChar w:fldCharType="separate"/>
      </w:r>
      <w:r w:rsidR="00105826" w:rsidRPr="0023369E">
        <w:rPr>
          <w:rStyle w:val="Hyperlink"/>
          <w:rFonts w:ascii="Calibri" w:hAnsi="Calibri"/>
        </w:rPr>
        <w:t xml:space="preserve">espagnol </w:t>
      </w:r>
    </w:p>
    <w:p w14:paraId="7FC85B39" w14:textId="22813EDA" w:rsidR="005E420F" w:rsidRPr="00B14E01" w:rsidRDefault="007852D1" w:rsidP="00233F6F">
      <w:pPr>
        <w:pStyle w:val="ListParagraph"/>
        <w:numPr>
          <w:ilvl w:val="0"/>
          <w:numId w:val="27"/>
        </w:numPr>
        <w:shd w:val="clear" w:color="auto" w:fill="FFFFFF"/>
        <w:spacing w:before="240" w:after="0" w:line="240" w:lineRule="auto"/>
        <w:jc w:val="both"/>
        <w:textAlignment w:val="top"/>
        <w:rPr>
          <w:rFonts w:ascii="Calibri" w:eastAsia="Times New Roman" w:hAnsi="Calibri" w:cs="Arial"/>
          <w:color w:val="333333"/>
        </w:rPr>
      </w:pPr>
      <w:r w:rsidRPr="0023369E">
        <w:rPr>
          <w:rFonts w:ascii="Calibri" w:hAnsi="Calibri"/>
          <w:u w:val="single"/>
        </w:rPr>
        <w:fldChar w:fldCharType="end"/>
      </w:r>
      <w:r w:rsidR="00E02075">
        <w:t>Pour protéger l</w:t>
      </w:r>
      <w:r w:rsidR="00B03DBE">
        <w:t>‘</w:t>
      </w:r>
      <w:r w:rsidR="00E02075">
        <w:t>intégrité du processus d</w:t>
      </w:r>
      <w:r w:rsidR="00B03DBE">
        <w:t>‘</w:t>
      </w:r>
      <w:r w:rsidR="00E02075">
        <w:t xml:space="preserve">approvisionnement, les abus éventuels peuvent être signalés au </w:t>
      </w:r>
      <w:hyperlink r:id="rId16" w:history="1">
        <w:r w:rsidR="00E02075" w:rsidRPr="00BC7EA5">
          <w:rPr>
            <w:rFonts w:ascii="Calibri" w:hAnsi="Calibri"/>
            <w:color w:val="0072BC"/>
            <w:u w:val="single"/>
          </w:rPr>
          <w:t xml:space="preserve">système de notification des </w:t>
        </w:r>
        <w:r w:rsidR="00F90620" w:rsidRPr="00BC7EA5">
          <w:rPr>
            <w:rFonts w:ascii="Calibri" w:hAnsi="Calibri"/>
            <w:color w:val="0072BC"/>
            <w:u w:val="single"/>
          </w:rPr>
          <w:t>fraudes en ligne du PNUD ou au B</w:t>
        </w:r>
        <w:r w:rsidR="00E02075" w:rsidRPr="00BC7EA5">
          <w:rPr>
            <w:rFonts w:ascii="Calibri" w:hAnsi="Calibri"/>
            <w:color w:val="0072BC"/>
            <w:u w:val="single"/>
          </w:rPr>
          <w:t>ureau de l</w:t>
        </w:r>
        <w:r w:rsidR="00B03DBE" w:rsidRPr="00BC7EA5">
          <w:rPr>
            <w:rFonts w:ascii="Calibri" w:hAnsi="Calibri"/>
            <w:color w:val="0072BC"/>
            <w:u w:val="single"/>
          </w:rPr>
          <w:t>‘</w:t>
        </w:r>
        <w:r w:rsidR="00E02075" w:rsidRPr="00BC7EA5">
          <w:rPr>
            <w:rFonts w:ascii="Calibri" w:hAnsi="Calibri"/>
            <w:color w:val="0072BC"/>
            <w:u w:val="single"/>
          </w:rPr>
          <w:t>audit et des investigations</w:t>
        </w:r>
      </w:hyperlink>
      <w:r w:rsidR="00B14E01">
        <w:rPr>
          <w:rFonts w:ascii="Calibri" w:hAnsi="Calibri"/>
          <w:color w:val="333333"/>
        </w:rPr>
        <w:t>.</w:t>
      </w:r>
    </w:p>
    <w:p w14:paraId="44609544" w14:textId="77777777" w:rsidR="00E02075" w:rsidRPr="00B14E01" w:rsidRDefault="00E02075" w:rsidP="005E420F">
      <w:pPr>
        <w:pStyle w:val="ListParagraph"/>
        <w:shd w:val="clear" w:color="auto" w:fill="FFFFFF"/>
        <w:spacing w:before="240" w:after="0" w:line="240" w:lineRule="auto"/>
        <w:jc w:val="both"/>
        <w:textAlignment w:val="top"/>
        <w:rPr>
          <w:rFonts w:ascii="Calibri" w:eastAsia="Times New Roman" w:hAnsi="Calibri" w:cs="Arial"/>
          <w:color w:val="333333"/>
        </w:rPr>
      </w:pPr>
      <w:r w:rsidRPr="00B14E01">
        <w:rPr>
          <w:rFonts w:ascii="Calibri" w:hAnsi="Calibri"/>
          <w:color w:val="333333"/>
        </w:rPr>
        <w:t> </w:t>
      </w:r>
    </w:p>
    <w:p w14:paraId="484B1969" w14:textId="77777777" w:rsidR="005615CF" w:rsidRPr="00E21887" w:rsidRDefault="00496E99" w:rsidP="00233F6F">
      <w:pPr>
        <w:pStyle w:val="ListParagraph"/>
        <w:numPr>
          <w:ilvl w:val="0"/>
          <w:numId w:val="27"/>
        </w:numPr>
        <w:shd w:val="clear" w:color="auto" w:fill="FFFFFF"/>
        <w:spacing w:before="240" w:after="0" w:line="240" w:lineRule="auto"/>
        <w:jc w:val="both"/>
        <w:textAlignment w:val="top"/>
        <w:rPr>
          <w:rFonts w:ascii="Calibri" w:eastAsia="Times New Roman" w:hAnsi="Calibri" w:cs="Arial"/>
          <w:vanish/>
          <w:color w:val="333333"/>
        </w:rPr>
      </w:pPr>
      <w:r>
        <w:lastRenderedPageBreak/>
        <w:t xml:space="preserve">Veuillez également vous référer à la </w:t>
      </w:r>
      <w:hyperlink r:id="rId17" w:history="1">
        <w:r>
          <w:rPr>
            <w:rStyle w:val="Hyperlink"/>
          </w:rPr>
          <w:t>Liste récapitulative relative aux sanctions imposées par le Conseil de sécurité de l</w:t>
        </w:r>
        <w:r w:rsidR="00B03DBE">
          <w:rPr>
            <w:rStyle w:val="Hyperlink"/>
          </w:rPr>
          <w:t>‘</w:t>
        </w:r>
        <w:r>
          <w:rPr>
            <w:rStyle w:val="Hyperlink"/>
          </w:rPr>
          <w:t>ONU</w:t>
        </w:r>
      </w:hyperlink>
      <w:r>
        <w:t xml:space="preserve"> </w:t>
      </w:r>
      <w:r w:rsidR="00BE6C14" w:rsidRPr="00233F6F">
        <w:rPr>
          <w:rFonts w:ascii="Calibri" w:hAnsi="Calibri"/>
          <w:vanish/>
          <w:color w:val="333333"/>
        </w:rPr>
        <w:t>–</w:t>
      </w:r>
      <w:r w:rsidR="00595FC7" w:rsidRPr="00233F6F">
        <w:rPr>
          <w:rFonts w:ascii="Calibri" w:hAnsi="Calibri"/>
          <w:vanish/>
          <w:color w:val="333333"/>
        </w:rPr>
        <w:t>Élément de structure - Description</w:t>
      </w:r>
    </w:p>
    <w:p w14:paraId="041AA478" w14:textId="77777777" w:rsidR="005615CF" w:rsidRPr="00595FC7" w:rsidRDefault="00595FC7" w:rsidP="005615CF">
      <w:pPr>
        <w:shd w:val="clear" w:color="auto" w:fill="FFFFFF"/>
        <w:spacing w:after="0" w:line="240" w:lineRule="auto"/>
        <w:textAlignment w:val="top"/>
        <w:rPr>
          <w:rFonts w:ascii="Arial" w:eastAsia="Times New Roman" w:hAnsi="Arial" w:cs="Arial"/>
          <w:color w:val="333333"/>
        </w:rPr>
      </w:pPr>
      <w:r>
        <w:rPr>
          <w:rFonts w:ascii="Calibri" w:hAnsi="Calibri"/>
          <w:color w:val="333333"/>
        </w:rPr>
        <w:t>Élément de structure – Politiques appropriées</w:t>
      </w:r>
    </w:p>
    <w:p w14:paraId="38C5C109" w14:textId="77777777" w:rsidR="004F2BC7" w:rsidRDefault="004F2BC7">
      <w:pPr>
        <w:rPr>
          <w:rFonts w:ascii="Calibri" w:hAnsi="Calibri"/>
        </w:rPr>
      </w:pPr>
    </w:p>
    <w:p w14:paraId="2D36002B" w14:textId="2ACCD96F" w:rsidR="00002A1D" w:rsidRPr="00002A1D" w:rsidRDefault="00002A1D" w:rsidP="00002A1D">
      <w:pPr>
        <w:rPr>
          <w:rFonts w:ascii="Calibri" w:hAnsi="Calibri"/>
          <w:i/>
        </w:rPr>
      </w:pPr>
      <w:r w:rsidRPr="00002A1D">
        <w:rPr>
          <w:rFonts w:ascii="Calibri" w:hAnsi="Calibri"/>
          <w:i/>
        </w:rPr>
        <w:t>Avertissement: Ce document a été traduit de l'anglais vers le français. En cas de divergence entre cette traduction et le document anglais original, le document anglais original prévaudra.</w:t>
      </w:r>
    </w:p>
    <w:p w14:paraId="05B54189" w14:textId="0BB145BB" w:rsidR="00450AB2" w:rsidRDefault="00002A1D" w:rsidP="00002A1D">
      <w:pPr>
        <w:rPr>
          <w:rFonts w:ascii="Calibri" w:hAnsi="Calibri"/>
          <w:i/>
          <w:lang w:val="en-US"/>
        </w:rPr>
      </w:pPr>
      <w:r w:rsidRPr="00002A1D">
        <w:rPr>
          <w:rFonts w:ascii="Calibri" w:hAnsi="Calibri"/>
          <w:i/>
          <w:lang w:val="en-US"/>
        </w:rPr>
        <w:t>Disclaimer: This document was translated from English into French. In the event of any discrepancy between this translation and the original English document, the original English document shall prevail.</w:t>
      </w:r>
    </w:p>
    <w:p w14:paraId="0D244279" w14:textId="0FBE45E4" w:rsidR="006C1FD0" w:rsidRPr="005632E2" w:rsidRDefault="006C1FD0">
      <w:pPr>
        <w:rPr>
          <w:rFonts w:ascii="Calibri" w:hAnsi="Calibri"/>
          <w:i/>
          <w:lang w:val="en-US"/>
        </w:rPr>
      </w:pPr>
    </w:p>
    <w:sectPr w:rsidR="006C1FD0" w:rsidRPr="005632E2" w:rsidSect="00910CCB">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CBF68" w14:textId="77777777" w:rsidR="00980D0C" w:rsidRDefault="00980D0C" w:rsidP="005E420F">
      <w:pPr>
        <w:spacing w:after="0" w:line="240" w:lineRule="auto"/>
      </w:pPr>
      <w:r>
        <w:separator/>
      </w:r>
    </w:p>
  </w:endnote>
  <w:endnote w:type="continuationSeparator" w:id="0">
    <w:p w14:paraId="54CEB43C" w14:textId="77777777" w:rsidR="00980D0C" w:rsidRDefault="00980D0C" w:rsidP="005E4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658D7" w14:textId="77777777" w:rsidR="00DE7C79" w:rsidRDefault="00DE7C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2D9A5" w14:textId="5E2EC6E8" w:rsidR="00334CE1" w:rsidRDefault="00334CE1">
    <w:pPr>
      <w:pStyle w:val="Footer"/>
    </w:pPr>
    <w:r>
      <w:t xml:space="preserve">Page </w:t>
    </w:r>
    <w:r w:rsidR="00CA3B1D">
      <w:rPr>
        <w:b/>
        <w:bCs/>
      </w:rPr>
      <w:fldChar w:fldCharType="begin"/>
    </w:r>
    <w:r>
      <w:rPr>
        <w:b/>
        <w:bCs/>
      </w:rPr>
      <w:instrText>PAGE  \* Arabic  \* MERGEFORMAT</w:instrText>
    </w:r>
    <w:r w:rsidR="00CA3B1D">
      <w:rPr>
        <w:b/>
        <w:bCs/>
      </w:rPr>
      <w:fldChar w:fldCharType="separate"/>
    </w:r>
    <w:r w:rsidR="004F2BC7">
      <w:rPr>
        <w:b/>
        <w:bCs/>
        <w:noProof/>
      </w:rPr>
      <w:t>8</w:t>
    </w:r>
    <w:r w:rsidR="00CA3B1D">
      <w:rPr>
        <w:b/>
        <w:bCs/>
      </w:rPr>
      <w:fldChar w:fldCharType="end"/>
    </w:r>
    <w:r>
      <w:t xml:space="preserve"> de </w:t>
    </w:r>
    <w:fldSimple w:instr="NUMPAGES  \* Arabic  \* MERGEFORMAT">
      <w:r w:rsidR="004F2BC7" w:rsidRPr="004F2BC7">
        <w:rPr>
          <w:b/>
          <w:bCs/>
          <w:noProof/>
        </w:rPr>
        <w:t>8</w:t>
      </w:r>
    </w:fldSimple>
    <w:r>
      <w:ptab w:relativeTo="margin" w:alignment="center" w:leader="none"/>
    </w:r>
    <w:r>
      <w:t>Date d</w:t>
    </w:r>
    <w:r w:rsidR="00B03DBE">
      <w:t>’</w:t>
    </w:r>
    <w:r>
      <w:t>entrée en vigueur</w:t>
    </w:r>
    <w:r w:rsidR="00B03DBE">
      <w:t> </w:t>
    </w:r>
    <w:r>
      <w:t>:</w:t>
    </w:r>
    <w:r w:rsidR="00ED2452" w:rsidRPr="00ED2452">
      <w:t xml:space="preserve"> </w:t>
    </w:r>
    <w:r w:rsidR="00ED2452" w:rsidRPr="00ED2452">
      <w:t>26/07/2016</w:t>
    </w:r>
    <w:r>
      <w:tab/>
      <w:t xml:space="preserve">             Version n°: </w:t>
    </w:r>
    <w:sdt>
      <w:sdtPr>
        <w:rPr>
          <w:rFonts w:cstheme="minorHAnsi"/>
        </w:rPr>
        <w:alias w:val="POPPRefItemVersion"/>
        <w:tag w:val="UNDP_POPP_REFITEM_VERSION"/>
        <w:id w:val="-210807958"/>
        <w:placeholder>
          <w:docPart w:val="E42977DAA68048CBBCEFE17E13C05D21"/>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F8E897C4-14AE-4387-B325-2EDC38C21916}"/>
        <w:text/>
      </w:sdtPr>
      <w:sdtContent>
        <w:r w:rsidR="00504F61">
          <w:rPr>
            <w:rFonts w:cstheme="minorHAnsi"/>
          </w:rPr>
          <w:t>3</w:t>
        </w:r>
      </w:sdtContent>
    </w:sdt>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97955" w14:textId="77777777" w:rsidR="00DE7C79" w:rsidRDefault="00DE7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6181F" w14:textId="77777777" w:rsidR="00980D0C" w:rsidRDefault="00980D0C" w:rsidP="005E420F">
      <w:pPr>
        <w:spacing w:after="0" w:line="240" w:lineRule="auto"/>
      </w:pPr>
      <w:r>
        <w:separator/>
      </w:r>
    </w:p>
  </w:footnote>
  <w:footnote w:type="continuationSeparator" w:id="0">
    <w:p w14:paraId="1329EF29" w14:textId="77777777" w:rsidR="00980D0C" w:rsidRDefault="00980D0C" w:rsidP="005E4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B6FA9" w14:textId="77777777" w:rsidR="00DE7C79" w:rsidRDefault="00DE7C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E3808" w14:textId="37F1BE51" w:rsidR="00334CE1" w:rsidRDefault="00DE7C79" w:rsidP="006F6589">
    <w:pPr>
      <w:pStyle w:val="Header"/>
      <w:jc w:val="right"/>
    </w:pPr>
    <w:r>
      <w:rPr>
        <w:noProof/>
      </w:rPr>
      <w:drawing>
        <wp:inline distT="0" distB="0" distL="0" distR="0" wp14:anchorId="399ADC15" wp14:editId="04F9D1C5">
          <wp:extent cx="294640" cy="593090"/>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p w14:paraId="6BA85E13" w14:textId="77777777" w:rsidR="00334CE1" w:rsidRDefault="00334C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07041" w14:textId="77777777" w:rsidR="00DE7C79" w:rsidRDefault="00DE7C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782B"/>
    <w:multiLevelType w:val="multilevel"/>
    <w:tmpl w:val="9EC0A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51646"/>
    <w:multiLevelType w:val="hybridMultilevel"/>
    <w:tmpl w:val="71F662CA"/>
    <w:lvl w:ilvl="0" w:tplc="041C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81AF3"/>
    <w:multiLevelType w:val="multilevel"/>
    <w:tmpl w:val="355A386C"/>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80616"/>
    <w:multiLevelType w:val="multilevel"/>
    <w:tmpl w:val="5DE6C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9528B7"/>
    <w:multiLevelType w:val="multilevel"/>
    <w:tmpl w:val="5D724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86A22"/>
    <w:multiLevelType w:val="multilevel"/>
    <w:tmpl w:val="D2C2E472"/>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823C64"/>
    <w:multiLevelType w:val="hybridMultilevel"/>
    <w:tmpl w:val="FAC4BBAC"/>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1E294863"/>
    <w:multiLevelType w:val="multilevel"/>
    <w:tmpl w:val="81984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795020"/>
    <w:multiLevelType w:val="hybridMultilevel"/>
    <w:tmpl w:val="FD8EFCD4"/>
    <w:lvl w:ilvl="0" w:tplc="0ADE6AF6">
      <w:start w:val="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20D133DB"/>
    <w:multiLevelType w:val="multilevel"/>
    <w:tmpl w:val="0BDA036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F5A59A5"/>
    <w:multiLevelType w:val="multilevel"/>
    <w:tmpl w:val="97AE8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5557CB"/>
    <w:multiLevelType w:val="multilevel"/>
    <w:tmpl w:val="C50E1BF0"/>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B65726"/>
    <w:multiLevelType w:val="multilevel"/>
    <w:tmpl w:val="4E3C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130573"/>
    <w:multiLevelType w:val="multilevel"/>
    <w:tmpl w:val="70481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18159F"/>
    <w:multiLevelType w:val="multilevel"/>
    <w:tmpl w:val="4C1AF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F809F7"/>
    <w:multiLevelType w:val="multilevel"/>
    <w:tmpl w:val="B22264CC"/>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3E38FE"/>
    <w:multiLevelType w:val="multilevel"/>
    <w:tmpl w:val="05783860"/>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A939F9"/>
    <w:multiLevelType w:val="multilevel"/>
    <w:tmpl w:val="9A7C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5918B1"/>
    <w:multiLevelType w:val="multilevel"/>
    <w:tmpl w:val="E0B0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94781A"/>
    <w:multiLevelType w:val="multilevel"/>
    <w:tmpl w:val="859A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9A5F24"/>
    <w:multiLevelType w:val="hybridMultilevel"/>
    <w:tmpl w:val="FF921066"/>
    <w:lvl w:ilvl="0" w:tplc="041C0019">
      <w:start w:val="1"/>
      <w:numFmt w:val="lowerLetter"/>
      <w:lvlText w:val="%1."/>
      <w:lvlJc w:val="left"/>
      <w:pPr>
        <w:ind w:left="720" w:hanging="360"/>
      </w:pPr>
    </w:lvl>
    <w:lvl w:ilvl="1" w:tplc="041C0019">
      <w:start w:val="1"/>
      <w:numFmt w:val="lowerLetter"/>
      <w:lvlText w:val="%2."/>
      <w:lvlJc w:val="left"/>
      <w:pPr>
        <w:ind w:left="1440" w:hanging="360"/>
      </w:pPr>
    </w:lvl>
    <w:lvl w:ilvl="2" w:tplc="87A2D4E6">
      <w:start w:val="1"/>
      <w:numFmt w:val="lowerRoman"/>
      <w:lvlText w:val="%3."/>
      <w:lvlJc w:val="right"/>
      <w:pPr>
        <w:ind w:left="2160" w:hanging="180"/>
      </w:pPr>
      <w:rPr>
        <w:color w:val="auto"/>
      </w:r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1" w15:restartNumberingAfterBreak="0">
    <w:nsid w:val="684A2840"/>
    <w:multiLevelType w:val="multilevel"/>
    <w:tmpl w:val="CA62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5C5C3E"/>
    <w:multiLevelType w:val="multilevel"/>
    <w:tmpl w:val="0964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4E1DE7"/>
    <w:multiLevelType w:val="multilevel"/>
    <w:tmpl w:val="D558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312B0E"/>
    <w:multiLevelType w:val="multilevel"/>
    <w:tmpl w:val="DE24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D40262"/>
    <w:multiLevelType w:val="multilevel"/>
    <w:tmpl w:val="0CE6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C3764B"/>
    <w:multiLevelType w:val="hybridMultilevel"/>
    <w:tmpl w:val="C3D41468"/>
    <w:lvl w:ilvl="0" w:tplc="A14EA0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0162811">
    <w:abstractNumId w:val="0"/>
  </w:num>
  <w:num w:numId="2" w16cid:durableId="2011327804">
    <w:abstractNumId w:val="3"/>
  </w:num>
  <w:num w:numId="3" w16cid:durableId="1019967529">
    <w:abstractNumId w:val="19"/>
  </w:num>
  <w:num w:numId="4" w16cid:durableId="267785021">
    <w:abstractNumId w:val="21"/>
  </w:num>
  <w:num w:numId="5" w16cid:durableId="1968074715">
    <w:abstractNumId w:val="13"/>
  </w:num>
  <w:num w:numId="6" w16cid:durableId="727340780">
    <w:abstractNumId w:val="18"/>
  </w:num>
  <w:num w:numId="7" w16cid:durableId="245696903">
    <w:abstractNumId w:val="25"/>
  </w:num>
  <w:num w:numId="8" w16cid:durableId="346717809">
    <w:abstractNumId w:val="14"/>
  </w:num>
  <w:num w:numId="9" w16cid:durableId="1679579830">
    <w:abstractNumId w:val="10"/>
  </w:num>
  <w:num w:numId="10" w16cid:durableId="1074821511">
    <w:abstractNumId w:val="22"/>
  </w:num>
  <w:num w:numId="11" w16cid:durableId="1853448673">
    <w:abstractNumId w:val="23"/>
  </w:num>
  <w:num w:numId="12" w16cid:durableId="158160208">
    <w:abstractNumId w:val="7"/>
  </w:num>
  <w:num w:numId="13" w16cid:durableId="1990939585">
    <w:abstractNumId w:val="12"/>
  </w:num>
  <w:num w:numId="14" w16cid:durableId="335812050">
    <w:abstractNumId w:val="4"/>
  </w:num>
  <w:num w:numId="15" w16cid:durableId="524095137">
    <w:abstractNumId w:val="17"/>
  </w:num>
  <w:num w:numId="16" w16cid:durableId="310670970">
    <w:abstractNumId w:val="24"/>
  </w:num>
  <w:num w:numId="17" w16cid:durableId="1528789608">
    <w:abstractNumId w:val="9"/>
  </w:num>
  <w:num w:numId="18" w16cid:durableId="1774587096">
    <w:abstractNumId w:val="26"/>
  </w:num>
  <w:num w:numId="19" w16cid:durableId="210002272">
    <w:abstractNumId w:val="6"/>
  </w:num>
  <w:num w:numId="20" w16cid:durableId="1487041799">
    <w:abstractNumId w:val="1"/>
  </w:num>
  <w:num w:numId="21" w16cid:durableId="2007173356">
    <w:abstractNumId w:val="11"/>
  </w:num>
  <w:num w:numId="22" w16cid:durableId="267127015">
    <w:abstractNumId w:val="15"/>
  </w:num>
  <w:num w:numId="23" w16cid:durableId="905719839">
    <w:abstractNumId w:val="16"/>
  </w:num>
  <w:num w:numId="24" w16cid:durableId="107429711">
    <w:abstractNumId w:val="5"/>
  </w:num>
  <w:num w:numId="25" w16cid:durableId="2023436792">
    <w:abstractNumId w:val="20"/>
  </w:num>
  <w:num w:numId="26" w16cid:durableId="1743017723">
    <w:abstractNumId w:val="2"/>
  </w:num>
  <w:num w:numId="27" w16cid:durableId="20021568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yMTS3MLY0MzExtDBQ0lEKTi0uzszPAykwrAUAMHsmiiwAAAA="/>
  </w:docVars>
  <w:rsids>
    <w:rsidRoot w:val="00E02075"/>
    <w:rsid w:val="00002A1D"/>
    <w:rsid w:val="00007A13"/>
    <w:rsid w:val="0003178A"/>
    <w:rsid w:val="0003339B"/>
    <w:rsid w:val="000334D6"/>
    <w:rsid w:val="000348EB"/>
    <w:rsid w:val="00090AAD"/>
    <w:rsid w:val="000D6D62"/>
    <w:rsid w:val="001052B5"/>
    <w:rsid w:val="00105826"/>
    <w:rsid w:val="00134432"/>
    <w:rsid w:val="001429B2"/>
    <w:rsid w:val="00145710"/>
    <w:rsid w:val="001609FF"/>
    <w:rsid w:val="0016295A"/>
    <w:rsid w:val="00182814"/>
    <w:rsid w:val="00186DE6"/>
    <w:rsid w:val="00193DC0"/>
    <w:rsid w:val="001B6325"/>
    <w:rsid w:val="0021475B"/>
    <w:rsid w:val="00223B60"/>
    <w:rsid w:val="00227EB0"/>
    <w:rsid w:val="0023369E"/>
    <w:rsid w:val="00233F6F"/>
    <w:rsid w:val="002419AC"/>
    <w:rsid w:val="00243392"/>
    <w:rsid w:val="00251E3D"/>
    <w:rsid w:val="00257313"/>
    <w:rsid w:val="0027462B"/>
    <w:rsid w:val="00287B4E"/>
    <w:rsid w:val="002B23B0"/>
    <w:rsid w:val="002C4052"/>
    <w:rsid w:val="00300A66"/>
    <w:rsid w:val="00310CC9"/>
    <w:rsid w:val="00334CE1"/>
    <w:rsid w:val="00337FC2"/>
    <w:rsid w:val="003552A9"/>
    <w:rsid w:val="00355486"/>
    <w:rsid w:val="003C6C40"/>
    <w:rsid w:val="003D5034"/>
    <w:rsid w:val="003E2113"/>
    <w:rsid w:val="003F177F"/>
    <w:rsid w:val="00407012"/>
    <w:rsid w:val="00450AB2"/>
    <w:rsid w:val="004637B6"/>
    <w:rsid w:val="00496489"/>
    <w:rsid w:val="00496E99"/>
    <w:rsid w:val="004A5CCF"/>
    <w:rsid w:val="004D631C"/>
    <w:rsid w:val="004E3E7C"/>
    <w:rsid w:val="004F2BC7"/>
    <w:rsid w:val="004F387D"/>
    <w:rsid w:val="00504F61"/>
    <w:rsid w:val="00505C7A"/>
    <w:rsid w:val="00511C00"/>
    <w:rsid w:val="005271B3"/>
    <w:rsid w:val="00541E38"/>
    <w:rsid w:val="005615CF"/>
    <w:rsid w:val="005632E2"/>
    <w:rsid w:val="005656E1"/>
    <w:rsid w:val="00566226"/>
    <w:rsid w:val="00571E2A"/>
    <w:rsid w:val="0058639A"/>
    <w:rsid w:val="00595FC7"/>
    <w:rsid w:val="005A48BF"/>
    <w:rsid w:val="005B0004"/>
    <w:rsid w:val="005B3F19"/>
    <w:rsid w:val="005B5049"/>
    <w:rsid w:val="005C35BB"/>
    <w:rsid w:val="005E420F"/>
    <w:rsid w:val="00697F29"/>
    <w:rsid w:val="006C0174"/>
    <w:rsid w:val="006C1FD0"/>
    <w:rsid w:val="006D0806"/>
    <w:rsid w:val="006E4F80"/>
    <w:rsid w:val="006F6589"/>
    <w:rsid w:val="00702F5D"/>
    <w:rsid w:val="00727B9A"/>
    <w:rsid w:val="00741EC9"/>
    <w:rsid w:val="00772807"/>
    <w:rsid w:val="007852D1"/>
    <w:rsid w:val="007D6C4D"/>
    <w:rsid w:val="007D7F68"/>
    <w:rsid w:val="007E161B"/>
    <w:rsid w:val="008050F9"/>
    <w:rsid w:val="00815FFD"/>
    <w:rsid w:val="00816F41"/>
    <w:rsid w:val="00822C31"/>
    <w:rsid w:val="00830E42"/>
    <w:rsid w:val="00837CC4"/>
    <w:rsid w:val="00840483"/>
    <w:rsid w:val="00844BCB"/>
    <w:rsid w:val="00847512"/>
    <w:rsid w:val="00866FF9"/>
    <w:rsid w:val="008C2DE1"/>
    <w:rsid w:val="008F4494"/>
    <w:rsid w:val="00910CCB"/>
    <w:rsid w:val="009276F2"/>
    <w:rsid w:val="00932028"/>
    <w:rsid w:val="009342DA"/>
    <w:rsid w:val="00980D0C"/>
    <w:rsid w:val="00996B0C"/>
    <w:rsid w:val="009B4774"/>
    <w:rsid w:val="009E24DC"/>
    <w:rsid w:val="009E280B"/>
    <w:rsid w:val="00A002AA"/>
    <w:rsid w:val="00A0354E"/>
    <w:rsid w:val="00A10BCD"/>
    <w:rsid w:val="00A1594E"/>
    <w:rsid w:val="00A3012A"/>
    <w:rsid w:val="00A349FA"/>
    <w:rsid w:val="00A56264"/>
    <w:rsid w:val="00A6435D"/>
    <w:rsid w:val="00A66750"/>
    <w:rsid w:val="00A8008E"/>
    <w:rsid w:val="00AC5AF0"/>
    <w:rsid w:val="00AF1141"/>
    <w:rsid w:val="00B03DBE"/>
    <w:rsid w:val="00B05A96"/>
    <w:rsid w:val="00B11320"/>
    <w:rsid w:val="00B14E01"/>
    <w:rsid w:val="00B208A8"/>
    <w:rsid w:val="00B53D03"/>
    <w:rsid w:val="00BA5739"/>
    <w:rsid w:val="00BB5CB8"/>
    <w:rsid w:val="00BC7EA5"/>
    <w:rsid w:val="00BD5340"/>
    <w:rsid w:val="00BE6C14"/>
    <w:rsid w:val="00BF4F21"/>
    <w:rsid w:val="00BF5275"/>
    <w:rsid w:val="00C25DE6"/>
    <w:rsid w:val="00C43DE8"/>
    <w:rsid w:val="00C46B39"/>
    <w:rsid w:val="00C62F8F"/>
    <w:rsid w:val="00C6394E"/>
    <w:rsid w:val="00C7330B"/>
    <w:rsid w:val="00C802B7"/>
    <w:rsid w:val="00CA3B1D"/>
    <w:rsid w:val="00CE7423"/>
    <w:rsid w:val="00CF084E"/>
    <w:rsid w:val="00CF3035"/>
    <w:rsid w:val="00CF5FF3"/>
    <w:rsid w:val="00D13865"/>
    <w:rsid w:val="00D45562"/>
    <w:rsid w:val="00D7333C"/>
    <w:rsid w:val="00D8037E"/>
    <w:rsid w:val="00D824D7"/>
    <w:rsid w:val="00DB5C18"/>
    <w:rsid w:val="00DC059C"/>
    <w:rsid w:val="00DC509A"/>
    <w:rsid w:val="00DE7C79"/>
    <w:rsid w:val="00E02075"/>
    <w:rsid w:val="00E1751D"/>
    <w:rsid w:val="00E21887"/>
    <w:rsid w:val="00E82804"/>
    <w:rsid w:val="00E96905"/>
    <w:rsid w:val="00EA0714"/>
    <w:rsid w:val="00EA1F89"/>
    <w:rsid w:val="00EA379C"/>
    <w:rsid w:val="00ED2452"/>
    <w:rsid w:val="00EE0549"/>
    <w:rsid w:val="00EF5830"/>
    <w:rsid w:val="00F170EC"/>
    <w:rsid w:val="00F23214"/>
    <w:rsid w:val="00F42C43"/>
    <w:rsid w:val="00F716DB"/>
    <w:rsid w:val="00F76234"/>
    <w:rsid w:val="00F90620"/>
    <w:rsid w:val="00FA61CB"/>
    <w:rsid w:val="00FC1F53"/>
    <w:rsid w:val="00FD6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33B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CCB"/>
  </w:style>
  <w:style w:type="paragraph" w:styleId="Heading1">
    <w:name w:val="heading 1"/>
    <w:basedOn w:val="Normal"/>
    <w:next w:val="Normal"/>
    <w:link w:val="Heading1Char"/>
    <w:uiPriority w:val="9"/>
    <w:qFormat/>
    <w:rsid w:val="00F762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8639A"/>
    <w:rPr>
      <w:sz w:val="16"/>
      <w:szCs w:val="16"/>
    </w:rPr>
  </w:style>
  <w:style w:type="paragraph" w:styleId="CommentText">
    <w:name w:val="annotation text"/>
    <w:basedOn w:val="Normal"/>
    <w:link w:val="CommentTextChar"/>
    <w:uiPriority w:val="99"/>
    <w:semiHidden/>
    <w:unhideWhenUsed/>
    <w:rsid w:val="0058639A"/>
    <w:pPr>
      <w:spacing w:line="240" w:lineRule="auto"/>
    </w:pPr>
    <w:rPr>
      <w:sz w:val="20"/>
      <w:szCs w:val="20"/>
    </w:rPr>
  </w:style>
  <w:style w:type="character" w:customStyle="1" w:styleId="CommentTextChar">
    <w:name w:val="Comment Text Char"/>
    <w:basedOn w:val="DefaultParagraphFont"/>
    <w:link w:val="CommentText"/>
    <w:uiPriority w:val="99"/>
    <w:semiHidden/>
    <w:rsid w:val="0058639A"/>
    <w:rPr>
      <w:sz w:val="20"/>
      <w:szCs w:val="20"/>
      <w:lang w:val="fr-FR"/>
    </w:rPr>
  </w:style>
  <w:style w:type="paragraph" w:styleId="CommentSubject">
    <w:name w:val="annotation subject"/>
    <w:basedOn w:val="CommentText"/>
    <w:next w:val="CommentText"/>
    <w:link w:val="CommentSubjectChar"/>
    <w:uiPriority w:val="99"/>
    <w:semiHidden/>
    <w:unhideWhenUsed/>
    <w:rsid w:val="0058639A"/>
    <w:rPr>
      <w:b/>
      <w:bCs/>
    </w:rPr>
  </w:style>
  <w:style w:type="character" w:customStyle="1" w:styleId="CommentSubjectChar">
    <w:name w:val="Comment Subject Char"/>
    <w:basedOn w:val="CommentTextChar"/>
    <w:link w:val="CommentSubject"/>
    <w:uiPriority w:val="99"/>
    <w:semiHidden/>
    <w:rsid w:val="0058639A"/>
    <w:rPr>
      <w:b/>
      <w:bCs/>
      <w:sz w:val="20"/>
      <w:szCs w:val="20"/>
      <w:lang w:val="fr-FR"/>
    </w:rPr>
  </w:style>
  <w:style w:type="paragraph" w:styleId="BalloonText">
    <w:name w:val="Balloon Text"/>
    <w:basedOn w:val="Normal"/>
    <w:link w:val="BalloonTextChar"/>
    <w:uiPriority w:val="99"/>
    <w:semiHidden/>
    <w:unhideWhenUsed/>
    <w:rsid w:val="005863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39A"/>
    <w:rPr>
      <w:rFonts w:ascii="Segoe UI" w:hAnsi="Segoe UI" w:cs="Segoe UI"/>
      <w:sz w:val="18"/>
      <w:szCs w:val="18"/>
      <w:lang w:val="fr-FR"/>
    </w:rPr>
  </w:style>
  <w:style w:type="paragraph" w:styleId="ListParagraph">
    <w:name w:val="List Paragraph"/>
    <w:basedOn w:val="Normal"/>
    <w:uiPriority w:val="34"/>
    <w:qFormat/>
    <w:rsid w:val="00243392"/>
    <w:pPr>
      <w:ind w:left="720"/>
      <w:contextualSpacing/>
    </w:pPr>
  </w:style>
  <w:style w:type="paragraph" w:customStyle="1" w:styleId="Head1">
    <w:name w:val="Head 1"/>
    <w:basedOn w:val="Heading1"/>
    <w:link w:val="Head1Char"/>
    <w:qFormat/>
    <w:rsid w:val="00F76234"/>
    <w:pPr>
      <w:shd w:val="clear" w:color="auto" w:fill="FFFFFF"/>
      <w:spacing w:line="240" w:lineRule="auto"/>
      <w:textAlignment w:val="top"/>
    </w:pPr>
    <w:rPr>
      <w:rFonts w:ascii="Calibri" w:eastAsia="Times New Roman" w:hAnsi="Calibri" w:cs="Arial"/>
      <w:b/>
      <w:bCs/>
      <w:color w:val="auto"/>
      <w:sz w:val="22"/>
    </w:rPr>
  </w:style>
  <w:style w:type="paragraph" w:styleId="Header">
    <w:name w:val="header"/>
    <w:basedOn w:val="Normal"/>
    <w:link w:val="HeaderChar"/>
    <w:uiPriority w:val="99"/>
    <w:unhideWhenUsed/>
    <w:rsid w:val="005E420F"/>
    <w:pPr>
      <w:tabs>
        <w:tab w:val="center" w:pos="4513"/>
        <w:tab w:val="right" w:pos="9026"/>
      </w:tabs>
      <w:spacing w:after="0" w:line="240" w:lineRule="auto"/>
    </w:pPr>
  </w:style>
  <w:style w:type="character" w:customStyle="1" w:styleId="Heading1Char">
    <w:name w:val="Heading 1 Char"/>
    <w:basedOn w:val="DefaultParagraphFont"/>
    <w:link w:val="Heading1"/>
    <w:uiPriority w:val="9"/>
    <w:rsid w:val="00F76234"/>
    <w:rPr>
      <w:rFonts w:asciiTheme="majorHAnsi" w:eastAsiaTheme="majorEastAsia" w:hAnsiTheme="majorHAnsi" w:cstheme="majorBidi"/>
      <w:color w:val="2E74B5" w:themeColor="accent1" w:themeShade="BF"/>
      <w:sz w:val="32"/>
      <w:szCs w:val="32"/>
      <w:lang w:val="fr-FR"/>
    </w:rPr>
  </w:style>
  <w:style w:type="character" w:customStyle="1" w:styleId="Head1Char">
    <w:name w:val="Head 1 Char"/>
    <w:basedOn w:val="Heading1Char"/>
    <w:link w:val="Head1"/>
    <w:rsid w:val="00F76234"/>
    <w:rPr>
      <w:rFonts w:ascii="Calibri" w:eastAsia="Times New Roman" w:hAnsi="Calibri" w:cs="Arial"/>
      <w:b/>
      <w:bCs/>
      <w:color w:val="2E74B5" w:themeColor="accent1" w:themeShade="BF"/>
      <w:sz w:val="32"/>
      <w:szCs w:val="32"/>
      <w:shd w:val="clear" w:color="auto" w:fill="FFFFFF"/>
      <w:lang w:val="fr-FR"/>
    </w:rPr>
  </w:style>
  <w:style w:type="character" w:customStyle="1" w:styleId="HeaderChar">
    <w:name w:val="Header Char"/>
    <w:basedOn w:val="DefaultParagraphFont"/>
    <w:link w:val="Header"/>
    <w:uiPriority w:val="99"/>
    <w:rsid w:val="005E420F"/>
    <w:rPr>
      <w:lang w:val="fr-FR"/>
    </w:rPr>
  </w:style>
  <w:style w:type="paragraph" w:styleId="Footer">
    <w:name w:val="footer"/>
    <w:basedOn w:val="Normal"/>
    <w:link w:val="FooterChar"/>
    <w:uiPriority w:val="99"/>
    <w:unhideWhenUsed/>
    <w:rsid w:val="005E42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20F"/>
    <w:rPr>
      <w:lang w:val="fr-FR"/>
    </w:rPr>
  </w:style>
  <w:style w:type="paragraph" w:styleId="TOCHeading">
    <w:name w:val="TOC Heading"/>
    <w:basedOn w:val="Heading1"/>
    <w:next w:val="Normal"/>
    <w:uiPriority w:val="39"/>
    <w:unhideWhenUsed/>
    <w:qFormat/>
    <w:rsid w:val="00EA0714"/>
    <w:pPr>
      <w:outlineLvl w:val="9"/>
    </w:pPr>
  </w:style>
  <w:style w:type="paragraph" w:styleId="TOC1">
    <w:name w:val="toc 1"/>
    <w:basedOn w:val="Normal"/>
    <w:next w:val="Normal"/>
    <w:autoRedefine/>
    <w:uiPriority w:val="39"/>
    <w:unhideWhenUsed/>
    <w:rsid w:val="00EA0714"/>
    <w:pPr>
      <w:spacing w:after="100"/>
    </w:pPr>
  </w:style>
  <w:style w:type="character" w:styleId="Hyperlink">
    <w:name w:val="Hyperlink"/>
    <w:basedOn w:val="DefaultParagraphFont"/>
    <w:uiPriority w:val="99"/>
    <w:unhideWhenUsed/>
    <w:rsid w:val="00EA0714"/>
    <w:rPr>
      <w:color w:val="0563C1" w:themeColor="hyperlink"/>
      <w:u w:val="single"/>
    </w:rPr>
  </w:style>
  <w:style w:type="character" w:styleId="PlaceholderText">
    <w:name w:val="Placeholder Text"/>
    <w:basedOn w:val="DefaultParagraphFont"/>
    <w:uiPriority w:val="99"/>
    <w:semiHidden/>
    <w:rsid w:val="001429B2"/>
    <w:rPr>
      <w:color w:val="808080"/>
    </w:rPr>
  </w:style>
  <w:style w:type="character" w:styleId="FollowedHyperlink">
    <w:name w:val="FollowedHyperlink"/>
    <w:basedOn w:val="DefaultParagraphFont"/>
    <w:uiPriority w:val="99"/>
    <w:semiHidden/>
    <w:unhideWhenUsed/>
    <w:rsid w:val="00BE6C14"/>
    <w:rPr>
      <w:color w:val="954F72" w:themeColor="followedHyperlink"/>
      <w:u w:val="single"/>
    </w:rPr>
  </w:style>
  <w:style w:type="character" w:styleId="UnresolvedMention">
    <w:name w:val="Unresolved Mention"/>
    <w:basedOn w:val="DefaultParagraphFont"/>
    <w:uiPriority w:val="99"/>
    <w:semiHidden/>
    <w:unhideWhenUsed/>
    <w:rsid w:val="00785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1744">
      <w:bodyDiv w:val="1"/>
      <w:marLeft w:val="0"/>
      <w:marRight w:val="0"/>
      <w:marTop w:val="0"/>
      <w:marBottom w:val="0"/>
      <w:divBdr>
        <w:top w:val="none" w:sz="0" w:space="0" w:color="auto"/>
        <w:left w:val="none" w:sz="0" w:space="0" w:color="auto"/>
        <w:bottom w:val="none" w:sz="0" w:space="0" w:color="auto"/>
        <w:right w:val="none" w:sz="0" w:space="0" w:color="auto"/>
      </w:divBdr>
    </w:div>
    <w:div w:id="502206347">
      <w:bodyDiv w:val="1"/>
      <w:marLeft w:val="0"/>
      <w:marRight w:val="0"/>
      <w:marTop w:val="0"/>
      <w:marBottom w:val="0"/>
      <w:divBdr>
        <w:top w:val="none" w:sz="0" w:space="0" w:color="auto"/>
        <w:left w:val="none" w:sz="0" w:space="0" w:color="auto"/>
        <w:bottom w:val="none" w:sz="0" w:space="0" w:color="auto"/>
        <w:right w:val="none" w:sz="0" w:space="0" w:color="auto"/>
      </w:divBdr>
    </w:div>
    <w:div w:id="604459986">
      <w:bodyDiv w:val="1"/>
      <w:marLeft w:val="0"/>
      <w:marRight w:val="0"/>
      <w:marTop w:val="0"/>
      <w:marBottom w:val="0"/>
      <w:divBdr>
        <w:top w:val="none" w:sz="0" w:space="0" w:color="auto"/>
        <w:left w:val="none" w:sz="0" w:space="0" w:color="auto"/>
        <w:bottom w:val="none" w:sz="0" w:space="0" w:color="auto"/>
        <w:right w:val="none" w:sz="0" w:space="0" w:color="auto"/>
      </w:divBdr>
      <w:divsChild>
        <w:div w:id="1678192557">
          <w:marLeft w:val="0"/>
          <w:marRight w:val="0"/>
          <w:marTop w:val="0"/>
          <w:marBottom w:val="0"/>
          <w:divBdr>
            <w:top w:val="none" w:sz="0" w:space="0" w:color="auto"/>
            <w:left w:val="none" w:sz="0" w:space="0" w:color="auto"/>
            <w:bottom w:val="none" w:sz="0" w:space="0" w:color="auto"/>
            <w:right w:val="none" w:sz="0" w:space="0" w:color="auto"/>
          </w:divBdr>
          <w:divsChild>
            <w:div w:id="1709717437">
              <w:marLeft w:val="0"/>
              <w:marRight w:val="0"/>
              <w:marTop w:val="0"/>
              <w:marBottom w:val="0"/>
              <w:divBdr>
                <w:top w:val="none" w:sz="0" w:space="0" w:color="auto"/>
                <w:left w:val="none" w:sz="0" w:space="0" w:color="auto"/>
                <w:bottom w:val="none" w:sz="0" w:space="0" w:color="auto"/>
                <w:right w:val="none" w:sz="0" w:space="0" w:color="auto"/>
              </w:divBdr>
              <w:divsChild>
                <w:div w:id="533351195">
                  <w:marLeft w:val="0"/>
                  <w:marRight w:val="0"/>
                  <w:marTop w:val="0"/>
                  <w:marBottom w:val="300"/>
                  <w:divBdr>
                    <w:top w:val="none" w:sz="0" w:space="0" w:color="auto"/>
                    <w:left w:val="none" w:sz="0" w:space="0" w:color="auto"/>
                    <w:bottom w:val="none" w:sz="0" w:space="0" w:color="auto"/>
                    <w:right w:val="none" w:sz="0" w:space="0" w:color="auto"/>
                  </w:divBdr>
                  <w:divsChild>
                    <w:div w:id="1819805807">
                      <w:marLeft w:val="2325"/>
                      <w:marRight w:val="0"/>
                      <w:marTop w:val="0"/>
                      <w:marBottom w:val="0"/>
                      <w:divBdr>
                        <w:top w:val="none" w:sz="0" w:space="0" w:color="auto"/>
                        <w:left w:val="none" w:sz="0" w:space="0" w:color="auto"/>
                        <w:bottom w:val="none" w:sz="0" w:space="0" w:color="auto"/>
                        <w:right w:val="none" w:sz="0" w:space="0" w:color="auto"/>
                      </w:divBdr>
                      <w:divsChild>
                        <w:div w:id="414016815">
                          <w:marLeft w:val="0"/>
                          <w:marRight w:val="0"/>
                          <w:marTop w:val="0"/>
                          <w:marBottom w:val="0"/>
                          <w:divBdr>
                            <w:top w:val="none" w:sz="0" w:space="0" w:color="auto"/>
                            <w:left w:val="none" w:sz="0" w:space="0" w:color="auto"/>
                            <w:bottom w:val="none" w:sz="0" w:space="0" w:color="auto"/>
                            <w:right w:val="none" w:sz="0" w:space="0" w:color="auto"/>
                          </w:divBdr>
                          <w:divsChild>
                            <w:div w:id="364643806">
                              <w:marLeft w:val="0"/>
                              <w:marRight w:val="0"/>
                              <w:marTop w:val="0"/>
                              <w:marBottom w:val="0"/>
                              <w:divBdr>
                                <w:top w:val="none" w:sz="0" w:space="0" w:color="auto"/>
                                <w:left w:val="none" w:sz="0" w:space="0" w:color="auto"/>
                                <w:bottom w:val="none" w:sz="0" w:space="0" w:color="auto"/>
                                <w:right w:val="none" w:sz="0" w:space="0" w:color="auto"/>
                              </w:divBdr>
                              <w:divsChild>
                                <w:div w:id="2108427315">
                                  <w:marLeft w:val="0"/>
                                  <w:marRight w:val="0"/>
                                  <w:marTop w:val="0"/>
                                  <w:marBottom w:val="0"/>
                                  <w:divBdr>
                                    <w:top w:val="none" w:sz="0" w:space="0" w:color="auto"/>
                                    <w:left w:val="none" w:sz="0" w:space="0" w:color="auto"/>
                                    <w:bottom w:val="none" w:sz="0" w:space="0" w:color="auto"/>
                                    <w:right w:val="none" w:sz="0" w:space="0" w:color="auto"/>
                                  </w:divBdr>
                                  <w:divsChild>
                                    <w:div w:id="631448522">
                                      <w:marLeft w:val="0"/>
                                      <w:marRight w:val="0"/>
                                      <w:marTop w:val="0"/>
                                      <w:marBottom w:val="0"/>
                                      <w:divBdr>
                                        <w:top w:val="none" w:sz="0" w:space="0" w:color="auto"/>
                                        <w:left w:val="none" w:sz="0" w:space="0" w:color="auto"/>
                                        <w:bottom w:val="none" w:sz="0" w:space="0" w:color="auto"/>
                                        <w:right w:val="none" w:sz="0" w:space="0" w:color="auto"/>
                                      </w:divBdr>
                                      <w:divsChild>
                                        <w:div w:id="1452288888">
                                          <w:marLeft w:val="0"/>
                                          <w:marRight w:val="-3525"/>
                                          <w:marTop w:val="0"/>
                                          <w:marBottom w:val="0"/>
                                          <w:divBdr>
                                            <w:top w:val="none" w:sz="0" w:space="0" w:color="auto"/>
                                            <w:left w:val="none" w:sz="0" w:space="0" w:color="auto"/>
                                            <w:bottom w:val="none" w:sz="0" w:space="0" w:color="auto"/>
                                            <w:right w:val="none" w:sz="0" w:space="0" w:color="auto"/>
                                          </w:divBdr>
                                          <w:divsChild>
                                            <w:div w:id="66653434">
                                              <w:marLeft w:val="0"/>
                                              <w:marRight w:val="3225"/>
                                              <w:marTop w:val="0"/>
                                              <w:marBottom w:val="0"/>
                                              <w:divBdr>
                                                <w:top w:val="none" w:sz="0" w:space="0" w:color="auto"/>
                                                <w:left w:val="none" w:sz="0" w:space="0" w:color="auto"/>
                                                <w:bottom w:val="none" w:sz="0" w:space="0" w:color="auto"/>
                                                <w:right w:val="none" w:sz="0" w:space="0" w:color="auto"/>
                                              </w:divBdr>
                                              <w:divsChild>
                                                <w:div w:id="745762163">
                                                  <w:marLeft w:val="0"/>
                                                  <w:marRight w:val="0"/>
                                                  <w:marTop w:val="0"/>
                                                  <w:marBottom w:val="150"/>
                                                  <w:divBdr>
                                                    <w:top w:val="none" w:sz="0" w:space="0" w:color="auto"/>
                                                    <w:left w:val="none" w:sz="0" w:space="0" w:color="auto"/>
                                                    <w:bottom w:val="none" w:sz="0" w:space="0" w:color="auto"/>
                                                    <w:right w:val="none" w:sz="0" w:space="0" w:color="auto"/>
                                                  </w:divBdr>
                                                </w:div>
                                                <w:div w:id="559245624">
                                                  <w:marLeft w:val="0"/>
                                                  <w:marRight w:val="0"/>
                                                  <w:marTop w:val="0"/>
                                                  <w:marBottom w:val="0"/>
                                                  <w:divBdr>
                                                    <w:top w:val="none" w:sz="0" w:space="0" w:color="auto"/>
                                                    <w:left w:val="none" w:sz="0" w:space="0" w:color="auto"/>
                                                    <w:bottom w:val="none" w:sz="0" w:space="0" w:color="auto"/>
                                                    <w:right w:val="none" w:sz="0" w:space="0" w:color="auto"/>
                                                  </w:divBdr>
                                                  <w:divsChild>
                                                    <w:div w:id="1286421816">
                                                      <w:marLeft w:val="0"/>
                                                      <w:marRight w:val="0"/>
                                                      <w:marTop w:val="0"/>
                                                      <w:marBottom w:val="0"/>
                                                      <w:divBdr>
                                                        <w:top w:val="none" w:sz="0" w:space="0" w:color="auto"/>
                                                        <w:left w:val="none" w:sz="0" w:space="0" w:color="auto"/>
                                                        <w:bottom w:val="none" w:sz="0" w:space="0" w:color="auto"/>
                                                        <w:right w:val="none" w:sz="0" w:space="0" w:color="auto"/>
                                                      </w:divBdr>
                                                    </w:div>
                                                  </w:divsChild>
                                                </w:div>
                                                <w:div w:id="1901402294">
                                                  <w:marLeft w:val="15"/>
                                                  <w:marRight w:val="15"/>
                                                  <w:marTop w:val="15"/>
                                                  <w:marBottom w:val="15"/>
                                                  <w:divBdr>
                                                    <w:top w:val="none" w:sz="0" w:space="0" w:color="auto"/>
                                                    <w:left w:val="none" w:sz="0" w:space="0" w:color="auto"/>
                                                    <w:bottom w:val="none" w:sz="0" w:space="0" w:color="auto"/>
                                                    <w:right w:val="none" w:sz="0" w:space="0" w:color="auto"/>
                                                  </w:divBdr>
                                                  <w:divsChild>
                                                    <w:div w:id="1568035199">
                                                      <w:marLeft w:val="0"/>
                                                      <w:marRight w:val="0"/>
                                                      <w:marTop w:val="0"/>
                                                      <w:marBottom w:val="0"/>
                                                      <w:divBdr>
                                                        <w:top w:val="none" w:sz="0" w:space="0" w:color="auto"/>
                                                        <w:left w:val="none" w:sz="0" w:space="0" w:color="auto"/>
                                                        <w:bottom w:val="none" w:sz="0" w:space="0" w:color="auto"/>
                                                        <w:right w:val="none" w:sz="0" w:space="0" w:color="auto"/>
                                                      </w:divBdr>
                                                    </w:div>
                                                    <w:div w:id="646279374">
                                                      <w:marLeft w:val="0"/>
                                                      <w:marRight w:val="0"/>
                                                      <w:marTop w:val="0"/>
                                                      <w:marBottom w:val="0"/>
                                                      <w:divBdr>
                                                        <w:top w:val="none" w:sz="0" w:space="0" w:color="auto"/>
                                                        <w:left w:val="none" w:sz="0" w:space="0" w:color="auto"/>
                                                        <w:bottom w:val="none" w:sz="0" w:space="0" w:color="auto"/>
                                                        <w:right w:val="none" w:sz="0" w:space="0" w:color="auto"/>
                                                      </w:divBdr>
                                                    </w:div>
                                                    <w:div w:id="753016140">
                                                      <w:marLeft w:val="0"/>
                                                      <w:marRight w:val="0"/>
                                                      <w:marTop w:val="0"/>
                                                      <w:marBottom w:val="0"/>
                                                      <w:divBdr>
                                                        <w:top w:val="none" w:sz="0" w:space="0" w:color="auto"/>
                                                        <w:left w:val="none" w:sz="0" w:space="0" w:color="auto"/>
                                                        <w:bottom w:val="none" w:sz="0" w:space="0" w:color="auto"/>
                                                        <w:right w:val="none" w:sz="0" w:space="0" w:color="auto"/>
                                                      </w:divBdr>
                                                    </w:div>
                                                    <w:div w:id="1511723053">
                                                      <w:marLeft w:val="0"/>
                                                      <w:marRight w:val="0"/>
                                                      <w:marTop w:val="0"/>
                                                      <w:marBottom w:val="0"/>
                                                      <w:divBdr>
                                                        <w:top w:val="none" w:sz="0" w:space="0" w:color="auto"/>
                                                        <w:left w:val="none" w:sz="0" w:space="0" w:color="auto"/>
                                                        <w:bottom w:val="none" w:sz="0" w:space="0" w:color="auto"/>
                                                        <w:right w:val="none" w:sz="0" w:space="0" w:color="auto"/>
                                                      </w:divBdr>
                                                    </w:div>
                                                    <w:div w:id="476190813">
                                                      <w:marLeft w:val="0"/>
                                                      <w:marRight w:val="0"/>
                                                      <w:marTop w:val="0"/>
                                                      <w:marBottom w:val="0"/>
                                                      <w:divBdr>
                                                        <w:top w:val="none" w:sz="0" w:space="0" w:color="auto"/>
                                                        <w:left w:val="none" w:sz="0" w:space="0" w:color="auto"/>
                                                        <w:bottom w:val="none" w:sz="0" w:space="0" w:color="auto"/>
                                                        <w:right w:val="none" w:sz="0" w:space="0" w:color="auto"/>
                                                      </w:divBdr>
                                                    </w:div>
                                                    <w:div w:id="630672663">
                                                      <w:marLeft w:val="0"/>
                                                      <w:marRight w:val="0"/>
                                                      <w:marTop w:val="0"/>
                                                      <w:marBottom w:val="0"/>
                                                      <w:divBdr>
                                                        <w:top w:val="none" w:sz="0" w:space="0" w:color="auto"/>
                                                        <w:left w:val="none" w:sz="0" w:space="0" w:color="auto"/>
                                                        <w:bottom w:val="none" w:sz="0" w:space="0" w:color="auto"/>
                                                        <w:right w:val="none" w:sz="0" w:space="0" w:color="auto"/>
                                                      </w:divBdr>
                                                    </w:div>
                                                    <w:div w:id="472219383">
                                                      <w:marLeft w:val="0"/>
                                                      <w:marRight w:val="0"/>
                                                      <w:marTop w:val="0"/>
                                                      <w:marBottom w:val="0"/>
                                                      <w:divBdr>
                                                        <w:top w:val="none" w:sz="0" w:space="0" w:color="auto"/>
                                                        <w:left w:val="none" w:sz="0" w:space="0" w:color="auto"/>
                                                        <w:bottom w:val="none" w:sz="0" w:space="0" w:color="auto"/>
                                                        <w:right w:val="none" w:sz="0" w:space="0" w:color="auto"/>
                                                      </w:divBdr>
                                                    </w:div>
                                                    <w:div w:id="1635256419">
                                                      <w:marLeft w:val="0"/>
                                                      <w:marRight w:val="0"/>
                                                      <w:marTop w:val="0"/>
                                                      <w:marBottom w:val="0"/>
                                                      <w:divBdr>
                                                        <w:top w:val="none" w:sz="0" w:space="0" w:color="auto"/>
                                                        <w:left w:val="none" w:sz="0" w:space="0" w:color="auto"/>
                                                        <w:bottom w:val="none" w:sz="0" w:space="0" w:color="auto"/>
                                                        <w:right w:val="none" w:sz="0" w:space="0" w:color="auto"/>
                                                      </w:divBdr>
                                                    </w:div>
                                                    <w:div w:id="1369182536">
                                                      <w:marLeft w:val="0"/>
                                                      <w:marRight w:val="0"/>
                                                      <w:marTop w:val="0"/>
                                                      <w:marBottom w:val="0"/>
                                                      <w:divBdr>
                                                        <w:top w:val="none" w:sz="0" w:space="0" w:color="auto"/>
                                                        <w:left w:val="none" w:sz="0" w:space="0" w:color="auto"/>
                                                        <w:bottom w:val="none" w:sz="0" w:space="0" w:color="auto"/>
                                                        <w:right w:val="none" w:sz="0" w:space="0" w:color="auto"/>
                                                      </w:divBdr>
                                                    </w:div>
                                                    <w:div w:id="2066878634">
                                                      <w:marLeft w:val="0"/>
                                                      <w:marRight w:val="0"/>
                                                      <w:marTop w:val="0"/>
                                                      <w:marBottom w:val="0"/>
                                                      <w:divBdr>
                                                        <w:top w:val="none" w:sz="0" w:space="0" w:color="auto"/>
                                                        <w:left w:val="none" w:sz="0" w:space="0" w:color="auto"/>
                                                        <w:bottom w:val="none" w:sz="0" w:space="0" w:color="auto"/>
                                                        <w:right w:val="none" w:sz="0" w:space="0" w:color="auto"/>
                                                      </w:divBdr>
                                                    </w:div>
                                                    <w:div w:id="1734159861">
                                                      <w:marLeft w:val="0"/>
                                                      <w:marRight w:val="0"/>
                                                      <w:marTop w:val="0"/>
                                                      <w:marBottom w:val="0"/>
                                                      <w:divBdr>
                                                        <w:top w:val="none" w:sz="0" w:space="0" w:color="auto"/>
                                                        <w:left w:val="none" w:sz="0" w:space="0" w:color="auto"/>
                                                        <w:bottom w:val="none" w:sz="0" w:space="0" w:color="auto"/>
                                                        <w:right w:val="none" w:sz="0" w:space="0" w:color="auto"/>
                                                      </w:divBdr>
                                                    </w:div>
                                                    <w:div w:id="585264943">
                                                      <w:marLeft w:val="0"/>
                                                      <w:marRight w:val="0"/>
                                                      <w:marTop w:val="0"/>
                                                      <w:marBottom w:val="0"/>
                                                      <w:divBdr>
                                                        <w:top w:val="none" w:sz="0" w:space="0" w:color="auto"/>
                                                        <w:left w:val="none" w:sz="0" w:space="0" w:color="auto"/>
                                                        <w:bottom w:val="none" w:sz="0" w:space="0" w:color="auto"/>
                                                        <w:right w:val="none" w:sz="0" w:space="0" w:color="auto"/>
                                                      </w:divBdr>
                                                    </w:div>
                                                    <w:div w:id="131748973">
                                                      <w:marLeft w:val="0"/>
                                                      <w:marRight w:val="0"/>
                                                      <w:marTop w:val="0"/>
                                                      <w:marBottom w:val="0"/>
                                                      <w:divBdr>
                                                        <w:top w:val="none" w:sz="0" w:space="0" w:color="auto"/>
                                                        <w:left w:val="none" w:sz="0" w:space="0" w:color="auto"/>
                                                        <w:bottom w:val="none" w:sz="0" w:space="0" w:color="auto"/>
                                                        <w:right w:val="none" w:sz="0" w:space="0" w:color="auto"/>
                                                      </w:divBdr>
                                                    </w:div>
                                                    <w:div w:id="110589736">
                                                      <w:marLeft w:val="0"/>
                                                      <w:marRight w:val="0"/>
                                                      <w:marTop w:val="0"/>
                                                      <w:marBottom w:val="0"/>
                                                      <w:divBdr>
                                                        <w:top w:val="none" w:sz="0" w:space="0" w:color="auto"/>
                                                        <w:left w:val="none" w:sz="0" w:space="0" w:color="auto"/>
                                                        <w:bottom w:val="none" w:sz="0" w:space="0" w:color="auto"/>
                                                        <w:right w:val="none" w:sz="0" w:space="0" w:color="auto"/>
                                                      </w:divBdr>
                                                    </w:div>
                                                    <w:div w:id="1834252179">
                                                      <w:marLeft w:val="0"/>
                                                      <w:marRight w:val="0"/>
                                                      <w:marTop w:val="0"/>
                                                      <w:marBottom w:val="0"/>
                                                      <w:divBdr>
                                                        <w:top w:val="none" w:sz="0" w:space="0" w:color="auto"/>
                                                        <w:left w:val="none" w:sz="0" w:space="0" w:color="auto"/>
                                                        <w:bottom w:val="none" w:sz="0" w:space="0" w:color="auto"/>
                                                        <w:right w:val="none" w:sz="0" w:space="0" w:color="auto"/>
                                                      </w:divBdr>
                                                    </w:div>
                                                    <w:div w:id="35660191">
                                                      <w:marLeft w:val="0"/>
                                                      <w:marRight w:val="0"/>
                                                      <w:marTop w:val="0"/>
                                                      <w:marBottom w:val="0"/>
                                                      <w:divBdr>
                                                        <w:top w:val="none" w:sz="0" w:space="0" w:color="auto"/>
                                                        <w:left w:val="none" w:sz="0" w:space="0" w:color="auto"/>
                                                        <w:bottom w:val="none" w:sz="0" w:space="0" w:color="auto"/>
                                                        <w:right w:val="none" w:sz="0" w:space="0" w:color="auto"/>
                                                      </w:divBdr>
                                                    </w:div>
                                                    <w:div w:id="1794670373">
                                                      <w:marLeft w:val="0"/>
                                                      <w:marRight w:val="0"/>
                                                      <w:marTop w:val="0"/>
                                                      <w:marBottom w:val="0"/>
                                                      <w:divBdr>
                                                        <w:top w:val="none" w:sz="0" w:space="0" w:color="auto"/>
                                                        <w:left w:val="none" w:sz="0" w:space="0" w:color="auto"/>
                                                        <w:bottom w:val="none" w:sz="0" w:space="0" w:color="auto"/>
                                                        <w:right w:val="none" w:sz="0" w:space="0" w:color="auto"/>
                                                      </w:divBdr>
                                                    </w:div>
                                                    <w:div w:id="1312253179">
                                                      <w:marLeft w:val="0"/>
                                                      <w:marRight w:val="0"/>
                                                      <w:marTop w:val="0"/>
                                                      <w:marBottom w:val="0"/>
                                                      <w:divBdr>
                                                        <w:top w:val="none" w:sz="0" w:space="0" w:color="auto"/>
                                                        <w:left w:val="none" w:sz="0" w:space="0" w:color="auto"/>
                                                        <w:bottom w:val="none" w:sz="0" w:space="0" w:color="auto"/>
                                                        <w:right w:val="none" w:sz="0" w:space="0" w:color="auto"/>
                                                      </w:divBdr>
                                                    </w:div>
                                                    <w:div w:id="499735081">
                                                      <w:marLeft w:val="0"/>
                                                      <w:marRight w:val="0"/>
                                                      <w:marTop w:val="0"/>
                                                      <w:marBottom w:val="0"/>
                                                      <w:divBdr>
                                                        <w:top w:val="none" w:sz="0" w:space="0" w:color="auto"/>
                                                        <w:left w:val="none" w:sz="0" w:space="0" w:color="auto"/>
                                                        <w:bottom w:val="none" w:sz="0" w:space="0" w:color="auto"/>
                                                        <w:right w:val="none" w:sz="0" w:space="0" w:color="auto"/>
                                                      </w:divBdr>
                                                    </w:div>
                                                    <w:div w:id="1784298036">
                                                      <w:marLeft w:val="0"/>
                                                      <w:marRight w:val="0"/>
                                                      <w:marTop w:val="0"/>
                                                      <w:marBottom w:val="0"/>
                                                      <w:divBdr>
                                                        <w:top w:val="none" w:sz="0" w:space="0" w:color="auto"/>
                                                        <w:left w:val="none" w:sz="0" w:space="0" w:color="auto"/>
                                                        <w:bottom w:val="none" w:sz="0" w:space="0" w:color="auto"/>
                                                        <w:right w:val="none" w:sz="0" w:space="0" w:color="auto"/>
                                                      </w:divBdr>
                                                    </w:div>
                                                    <w:div w:id="98067731">
                                                      <w:marLeft w:val="0"/>
                                                      <w:marRight w:val="0"/>
                                                      <w:marTop w:val="0"/>
                                                      <w:marBottom w:val="0"/>
                                                      <w:divBdr>
                                                        <w:top w:val="none" w:sz="0" w:space="0" w:color="auto"/>
                                                        <w:left w:val="none" w:sz="0" w:space="0" w:color="auto"/>
                                                        <w:bottom w:val="none" w:sz="0" w:space="0" w:color="auto"/>
                                                        <w:right w:val="none" w:sz="0" w:space="0" w:color="auto"/>
                                                      </w:divBdr>
                                                    </w:div>
                                                    <w:div w:id="765269067">
                                                      <w:marLeft w:val="0"/>
                                                      <w:marRight w:val="0"/>
                                                      <w:marTop w:val="0"/>
                                                      <w:marBottom w:val="0"/>
                                                      <w:divBdr>
                                                        <w:top w:val="none" w:sz="0" w:space="0" w:color="auto"/>
                                                        <w:left w:val="none" w:sz="0" w:space="0" w:color="auto"/>
                                                        <w:bottom w:val="none" w:sz="0" w:space="0" w:color="auto"/>
                                                        <w:right w:val="none" w:sz="0" w:space="0" w:color="auto"/>
                                                      </w:divBdr>
                                                    </w:div>
                                                    <w:div w:id="38553943">
                                                      <w:marLeft w:val="0"/>
                                                      <w:marRight w:val="0"/>
                                                      <w:marTop w:val="0"/>
                                                      <w:marBottom w:val="0"/>
                                                      <w:divBdr>
                                                        <w:top w:val="none" w:sz="0" w:space="0" w:color="auto"/>
                                                        <w:left w:val="none" w:sz="0" w:space="0" w:color="auto"/>
                                                        <w:bottom w:val="none" w:sz="0" w:space="0" w:color="auto"/>
                                                        <w:right w:val="none" w:sz="0" w:space="0" w:color="auto"/>
                                                      </w:divBdr>
                                                    </w:div>
                                                    <w:div w:id="835456310">
                                                      <w:marLeft w:val="0"/>
                                                      <w:marRight w:val="0"/>
                                                      <w:marTop w:val="0"/>
                                                      <w:marBottom w:val="0"/>
                                                      <w:divBdr>
                                                        <w:top w:val="none" w:sz="0" w:space="0" w:color="auto"/>
                                                        <w:left w:val="none" w:sz="0" w:space="0" w:color="auto"/>
                                                        <w:bottom w:val="none" w:sz="0" w:space="0" w:color="auto"/>
                                                        <w:right w:val="none" w:sz="0" w:space="0" w:color="auto"/>
                                                      </w:divBdr>
                                                    </w:div>
                                                    <w:div w:id="1643148662">
                                                      <w:marLeft w:val="0"/>
                                                      <w:marRight w:val="0"/>
                                                      <w:marTop w:val="0"/>
                                                      <w:marBottom w:val="0"/>
                                                      <w:divBdr>
                                                        <w:top w:val="none" w:sz="0" w:space="0" w:color="auto"/>
                                                        <w:left w:val="none" w:sz="0" w:space="0" w:color="auto"/>
                                                        <w:bottom w:val="none" w:sz="0" w:space="0" w:color="auto"/>
                                                        <w:right w:val="none" w:sz="0" w:space="0" w:color="auto"/>
                                                      </w:divBdr>
                                                    </w:div>
                                                    <w:div w:id="1319649980">
                                                      <w:marLeft w:val="0"/>
                                                      <w:marRight w:val="0"/>
                                                      <w:marTop w:val="0"/>
                                                      <w:marBottom w:val="0"/>
                                                      <w:divBdr>
                                                        <w:top w:val="none" w:sz="0" w:space="0" w:color="auto"/>
                                                        <w:left w:val="none" w:sz="0" w:space="0" w:color="auto"/>
                                                        <w:bottom w:val="none" w:sz="0" w:space="0" w:color="auto"/>
                                                        <w:right w:val="none" w:sz="0" w:space="0" w:color="auto"/>
                                                      </w:divBdr>
                                                    </w:div>
                                                    <w:div w:id="894662635">
                                                      <w:marLeft w:val="0"/>
                                                      <w:marRight w:val="0"/>
                                                      <w:marTop w:val="0"/>
                                                      <w:marBottom w:val="0"/>
                                                      <w:divBdr>
                                                        <w:top w:val="none" w:sz="0" w:space="0" w:color="auto"/>
                                                        <w:left w:val="none" w:sz="0" w:space="0" w:color="auto"/>
                                                        <w:bottom w:val="none" w:sz="0" w:space="0" w:color="auto"/>
                                                        <w:right w:val="none" w:sz="0" w:space="0" w:color="auto"/>
                                                      </w:divBdr>
                                                    </w:div>
                                                    <w:div w:id="1228341522">
                                                      <w:marLeft w:val="0"/>
                                                      <w:marRight w:val="0"/>
                                                      <w:marTop w:val="0"/>
                                                      <w:marBottom w:val="0"/>
                                                      <w:divBdr>
                                                        <w:top w:val="none" w:sz="0" w:space="0" w:color="auto"/>
                                                        <w:left w:val="none" w:sz="0" w:space="0" w:color="auto"/>
                                                        <w:bottom w:val="none" w:sz="0" w:space="0" w:color="auto"/>
                                                        <w:right w:val="none" w:sz="0" w:space="0" w:color="auto"/>
                                                      </w:divBdr>
                                                    </w:div>
                                                    <w:div w:id="547496900">
                                                      <w:marLeft w:val="0"/>
                                                      <w:marRight w:val="0"/>
                                                      <w:marTop w:val="0"/>
                                                      <w:marBottom w:val="0"/>
                                                      <w:divBdr>
                                                        <w:top w:val="none" w:sz="0" w:space="0" w:color="auto"/>
                                                        <w:left w:val="none" w:sz="0" w:space="0" w:color="auto"/>
                                                        <w:bottom w:val="none" w:sz="0" w:space="0" w:color="auto"/>
                                                        <w:right w:val="none" w:sz="0" w:space="0" w:color="auto"/>
                                                      </w:divBdr>
                                                    </w:div>
                                                    <w:div w:id="1004168768">
                                                      <w:marLeft w:val="0"/>
                                                      <w:marRight w:val="0"/>
                                                      <w:marTop w:val="0"/>
                                                      <w:marBottom w:val="0"/>
                                                      <w:divBdr>
                                                        <w:top w:val="none" w:sz="0" w:space="0" w:color="auto"/>
                                                        <w:left w:val="none" w:sz="0" w:space="0" w:color="auto"/>
                                                        <w:bottom w:val="none" w:sz="0" w:space="0" w:color="auto"/>
                                                        <w:right w:val="none" w:sz="0" w:space="0" w:color="auto"/>
                                                      </w:divBdr>
                                                    </w:div>
                                                    <w:div w:id="1381436295">
                                                      <w:marLeft w:val="0"/>
                                                      <w:marRight w:val="0"/>
                                                      <w:marTop w:val="0"/>
                                                      <w:marBottom w:val="0"/>
                                                      <w:divBdr>
                                                        <w:top w:val="none" w:sz="0" w:space="0" w:color="auto"/>
                                                        <w:left w:val="none" w:sz="0" w:space="0" w:color="auto"/>
                                                        <w:bottom w:val="none" w:sz="0" w:space="0" w:color="auto"/>
                                                        <w:right w:val="none" w:sz="0" w:space="0" w:color="auto"/>
                                                      </w:divBdr>
                                                    </w:div>
                                                    <w:div w:id="1454981274">
                                                      <w:marLeft w:val="0"/>
                                                      <w:marRight w:val="0"/>
                                                      <w:marTop w:val="0"/>
                                                      <w:marBottom w:val="0"/>
                                                      <w:divBdr>
                                                        <w:top w:val="none" w:sz="0" w:space="0" w:color="auto"/>
                                                        <w:left w:val="none" w:sz="0" w:space="0" w:color="auto"/>
                                                        <w:bottom w:val="none" w:sz="0" w:space="0" w:color="auto"/>
                                                        <w:right w:val="none" w:sz="0" w:space="0" w:color="auto"/>
                                                      </w:divBdr>
                                                    </w:div>
                                                    <w:div w:id="1806006588">
                                                      <w:marLeft w:val="0"/>
                                                      <w:marRight w:val="0"/>
                                                      <w:marTop w:val="0"/>
                                                      <w:marBottom w:val="0"/>
                                                      <w:divBdr>
                                                        <w:top w:val="none" w:sz="0" w:space="0" w:color="auto"/>
                                                        <w:left w:val="none" w:sz="0" w:space="0" w:color="auto"/>
                                                        <w:bottom w:val="none" w:sz="0" w:space="0" w:color="auto"/>
                                                        <w:right w:val="none" w:sz="0" w:space="0" w:color="auto"/>
                                                      </w:divBdr>
                                                    </w:div>
                                                    <w:div w:id="410280201">
                                                      <w:marLeft w:val="0"/>
                                                      <w:marRight w:val="0"/>
                                                      <w:marTop w:val="0"/>
                                                      <w:marBottom w:val="0"/>
                                                      <w:divBdr>
                                                        <w:top w:val="none" w:sz="0" w:space="0" w:color="auto"/>
                                                        <w:left w:val="none" w:sz="0" w:space="0" w:color="auto"/>
                                                        <w:bottom w:val="none" w:sz="0" w:space="0" w:color="auto"/>
                                                        <w:right w:val="none" w:sz="0" w:space="0" w:color="auto"/>
                                                      </w:divBdr>
                                                    </w:div>
                                                    <w:div w:id="868181298">
                                                      <w:marLeft w:val="0"/>
                                                      <w:marRight w:val="0"/>
                                                      <w:marTop w:val="0"/>
                                                      <w:marBottom w:val="0"/>
                                                      <w:divBdr>
                                                        <w:top w:val="none" w:sz="0" w:space="0" w:color="auto"/>
                                                        <w:left w:val="none" w:sz="0" w:space="0" w:color="auto"/>
                                                        <w:bottom w:val="none" w:sz="0" w:space="0" w:color="auto"/>
                                                        <w:right w:val="none" w:sz="0" w:space="0" w:color="auto"/>
                                                      </w:divBdr>
                                                    </w:div>
                                                    <w:div w:id="778373835">
                                                      <w:marLeft w:val="0"/>
                                                      <w:marRight w:val="0"/>
                                                      <w:marTop w:val="0"/>
                                                      <w:marBottom w:val="0"/>
                                                      <w:divBdr>
                                                        <w:top w:val="none" w:sz="0" w:space="0" w:color="auto"/>
                                                        <w:left w:val="none" w:sz="0" w:space="0" w:color="auto"/>
                                                        <w:bottom w:val="none" w:sz="0" w:space="0" w:color="auto"/>
                                                        <w:right w:val="none" w:sz="0" w:space="0" w:color="auto"/>
                                                      </w:divBdr>
                                                    </w:div>
                                                    <w:div w:id="3415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ungm.org/Account/Account/Login?ReturnUrl=%2FAdmin%2FIneligibleVendors"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un.org/sc/suborg/en/sanctions/1267/aq_sanctions_list%20%20"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undp.org/content/undp/fr/home/accountability/audit/office-of-audit-and-investigation.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popp.undp.org/fr/node/3981"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3981"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42977DAA68048CBBCEFE17E13C05D21"/>
        <w:category>
          <w:name w:val="Общие"/>
          <w:gallery w:val="placeholder"/>
        </w:category>
        <w:types>
          <w:type w:val="bbPlcHdr"/>
        </w:types>
        <w:behaviors>
          <w:behavior w:val="content"/>
        </w:behaviors>
        <w:guid w:val="{F6077F92-E853-4246-B002-D685EDA37365}"/>
      </w:docPartPr>
      <w:docPartBody>
        <w:p w:rsidR="00B51D7A" w:rsidRDefault="000B7127">
          <w:r w:rsidRPr="00763601">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B7127"/>
    <w:rsid w:val="000B7127"/>
    <w:rsid w:val="00127DE2"/>
    <w:rsid w:val="00176029"/>
    <w:rsid w:val="001B472A"/>
    <w:rsid w:val="002B50DA"/>
    <w:rsid w:val="0051722A"/>
    <w:rsid w:val="00562BF7"/>
    <w:rsid w:val="00566226"/>
    <w:rsid w:val="00566716"/>
    <w:rsid w:val="005E3A41"/>
    <w:rsid w:val="007B202B"/>
    <w:rsid w:val="00B51D7A"/>
    <w:rsid w:val="00C22F1C"/>
    <w:rsid w:val="00D86C60"/>
    <w:rsid w:val="00F04693"/>
    <w:rsid w:val="00F31A69"/>
    <w:rsid w:val="00F67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12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712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UNITBMS-1904581467-33</_dlc_DocI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355</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26/07/2016                                                Version #: 3</DLCPolicyLabelValue>
    <UNDP_POPP_EFFECTIVEDATE xmlns="8264c5cc-ec60-4b56-8111-ce635d3d139a">2016-07-25T22:00:00+00:00</UNDP_POPP_EFFECTIVEDATE>
    <UNDP_POPP_FILEVERSION xmlns="8264c5cc-ec60-4b56-8111-ce635d3d139a">2560</UNDP_POPP_FILEVERSION>
    <UNDP_POPP_REFITEM_VERSION xmlns="8264c5cc-ec60-4b56-8111-ce635d3d139a">3</UNDP_POPP_REFITEM_VERSION>
    <UNDP_POPP_ISACTIVE xmlns="8264c5cc-ec60-4b56-8111-ce635d3d139a">true</UNDP_POPP_ISACTIVE>
    <UNDP_POPP_TITLE_EN xmlns="8264c5cc-ec60-4b56-8111-ce635d3d139a">Déontologie en matière d’achat, fraude et corruption</UNDP_POPP_TITLE_EN>
    <_dlc_DocIdUrl xmlns="8264c5cc-ec60-4b56-8111-ce635d3d139a">
      <Url>https://intranet.undp.org/unit/bms/dir/internal/init_popp/_layouts/15/DocIdRedir.aspx?ID=UNITBMS-1904581467-33</Url>
      <Description>UNITBMS-1904581467-33</Description>
    </_dlc_DocIdUrl>
    <DLCPolicyLabelLock xmlns="e560140e-7b2f-4392-90df-e7567e3021a3" xsi:nil="true"/>
    <DLCPolicyLabelClientValue xmlns="e560140e-7b2f-4392-90df-e7567e3021a3">Effective Date: 26/07/2016                                                Version #: 3.0</DLCPolicyLabelClientValue>
    <UNDP_POPP_BUSINESSUNITID_HIDDEN xmlns="8264c5cc-ec60-4b56-8111-ce635d3d13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8E897C4-14AE-4387-B325-2EDC38C21916}">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A9AB86BF-48E2-4DD6-92AC-B02991769E45}">
  <ds:schemaRefs>
    <ds:schemaRef ds:uri="http://schemas.microsoft.com/sharepoint/v3/contenttype/forms"/>
  </ds:schemaRefs>
</ds:datastoreItem>
</file>

<file path=customXml/itemProps3.xml><?xml version="1.0" encoding="utf-8"?>
<ds:datastoreItem xmlns:ds="http://schemas.openxmlformats.org/officeDocument/2006/customXml" ds:itemID="{07BDA076-8179-4943-AF4D-46EE2484F5D1}">
  <ds:schemaRefs>
    <ds:schemaRef ds:uri="http://schemas.openxmlformats.org/officeDocument/2006/bibliography"/>
  </ds:schemaRefs>
</ds:datastoreItem>
</file>

<file path=customXml/itemProps4.xml><?xml version="1.0" encoding="utf-8"?>
<ds:datastoreItem xmlns:ds="http://schemas.openxmlformats.org/officeDocument/2006/customXml" ds:itemID="{22869CC8-0DFD-4D69-884F-6674E6DC9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52E90A-529D-457B-9173-FA987FE9AF82}">
  <ds:schemaRefs>
    <ds:schemaRef ds:uri="office.server.policy"/>
  </ds:schemaRefs>
</ds:datastoreItem>
</file>

<file path=customXml/itemProps6.xml><?xml version="1.0" encoding="utf-8"?>
<ds:datastoreItem xmlns:ds="http://schemas.openxmlformats.org/officeDocument/2006/customXml" ds:itemID="{549F955D-A2E7-4BCD-A0F1-ADDC65AA90D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2942</Words>
  <Characters>16772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Aller</dc:creator>
  <cp:lastModifiedBy>Pablo Morete</cp:lastModifiedBy>
  <cp:revision>16</cp:revision>
  <cp:lastPrinted>2016-04-26T13:51:00Z</cp:lastPrinted>
  <dcterms:created xsi:type="dcterms:W3CDTF">2018-09-11T11:11:00Z</dcterms:created>
  <dcterms:modified xsi:type="dcterms:W3CDTF">2024-08-30T10:48:00Z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355;#Procurement|254a9f96-b883-476a-8ef8-e81f93a2b38d</vt:lpwstr>
  </property>
  <property fmtid="{D5CDD505-2E9C-101B-9397-08002B2CF9AE}" pid="4" name="POPPBusinessProcess">
    <vt:lpwstr/>
  </property>
  <property fmtid="{D5CDD505-2E9C-101B-9397-08002B2CF9AE}" pid="5" name="l0e6ef0c43e74560bd7f3acd1f5e8571">
    <vt:lpwstr>Procurement|254a9f96-b883-476a-8ef8-e81f93a2b38d</vt:lpwstr>
  </property>
  <property fmtid="{D5CDD505-2E9C-101B-9397-08002B2CF9AE}" pid="6" name="_dlc_DocIdItemGuid">
    <vt:lpwstr>3843c8ef-d8d7-439e-9289-7a2ce9d4b374</vt:lpwstr>
  </property>
  <property fmtid="{D5CDD505-2E9C-101B-9397-08002B2CF9AE}" pid="7" name="UNDP_POPP_BUSINESSUNIT">
    <vt:lpwstr>355;#Procurement|254a9f96-b883-476a-8ef8-e81f93a2b38d</vt:lpwstr>
  </property>
  <property fmtid="{D5CDD505-2E9C-101B-9397-08002B2CF9AE}" pid="8" name="UNDPCountry">
    <vt:lpwstr/>
  </property>
  <property fmtid="{D5CDD505-2E9C-101B-9397-08002B2CF9AE}" pid="9" name="UndpDocTypeMM">
    <vt:lpwstr/>
  </property>
  <property fmtid="{D5CDD505-2E9C-101B-9397-08002B2CF9AE}" pid="10" name="UNDPDocumentCategory">
    <vt:lpwstr/>
  </property>
  <property fmtid="{D5CDD505-2E9C-101B-9397-08002B2CF9AE}" pid="11" name="UNDPFocusAreas">
    <vt:lpwstr/>
  </property>
  <property fmtid="{D5CDD505-2E9C-101B-9397-08002B2CF9AE}" pid="12" name="UN Languages">
    <vt:lpwstr/>
  </property>
  <property fmtid="{D5CDD505-2E9C-101B-9397-08002B2CF9AE}" pid="13" name="UndpUnitMM">
    <vt:lpwstr/>
  </property>
  <property fmtid="{D5CDD505-2E9C-101B-9397-08002B2CF9AE}" pid="14" name="eRegFilingCodeMM">
    <vt:lpwstr/>
  </property>
  <property fmtid="{D5CDD505-2E9C-101B-9397-08002B2CF9AE}" pid="15" name="UNDP_POPP_BUSINESSPROCESS_HIDDEN">
    <vt:lpwstr/>
  </property>
  <property fmtid="{D5CDD505-2E9C-101B-9397-08002B2CF9AE}" pid="16" name="DLCPolicyLabelValue">
    <vt:lpwstr>Effective Date: {Effective Date}                                                Version #: {POPPRefItemVersion}</vt:lpwstr>
  </property>
  <property fmtid="{D5CDD505-2E9C-101B-9397-08002B2CF9AE}" pid="17" name="UNDP_POPP_DOCUMENT_TYPE">
    <vt:lpwstr>Policy</vt:lpwstr>
  </property>
  <property fmtid="{D5CDD505-2E9C-101B-9397-08002B2CF9AE}" pid="18" name="UNDP_POPP_VERSION_COMMENTS">
    <vt:lpwstr/>
  </property>
  <property fmtid="{D5CDD505-2E9C-101B-9397-08002B2CF9AE}" pid="19" name="UNDP_POPP_DOCUMENT_LANGUAGE">
    <vt:lpwstr>French</vt:lpwstr>
  </property>
  <property fmtid="{D5CDD505-2E9C-101B-9397-08002B2CF9AE}" pid="20" name="UNDP_POPP_FILEVERSION">
    <vt:r8>2560</vt:r8>
  </property>
  <property fmtid="{D5CDD505-2E9C-101B-9397-08002B2CF9AE}" pid="21" name="UNDP_POPP_REFITEM_VERSION">
    <vt:r8>3</vt:r8>
  </property>
  <property fmtid="{D5CDD505-2E9C-101B-9397-08002B2CF9AE}" pid="22" name="UndpDocStatus">
    <vt:lpwstr>Draft</vt:lpwstr>
  </property>
  <property fmtid="{D5CDD505-2E9C-101B-9397-08002B2CF9AE}" pid="23" name="UndpClassificationLevel">
    <vt:lpwstr>Internal Use Only</vt:lpwstr>
  </property>
  <property fmtid="{D5CDD505-2E9C-101B-9397-08002B2CF9AE}" pid="24" name="UndpIsTemplate">
    <vt:lpwstr>No</vt:lpwstr>
  </property>
</Properties>
</file>