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D3867" w14:textId="77777777" w:rsidR="0034768B" w:rsidRPr="00975748" w:rsidRDefault="0034768B" w:rsidP="0034768B">
      <w:pPr>
        <w:spacing w:after="157" w:line="259" w:lineRule="auto"/>
        <w:ind w:left="0" w:firstLine="0"/>
        <w:jc w:val="left"/>
        <w:rPr>
          <w:lang w:val="en-GB"/>
        </w:rPr>
      </w:pPr>
      <w:r w:rsidRPr="00975748">
        <w:rPr>
          <w:b/>
          <w:sz w:val="28"/>
          <w:lang w:val="en-GB"/>
        </w:rPr>
        <w:t xml:space="preserve">Establishment and Use of Electronic Banking Systems  </w:t>
      </w:r>
    </w:p>
    <w:p w14:paraId="46C9A621" w14:textId="1264C4C3" w:rsidR="0034768B" w:rsidRDefault="0034768B" w:rsidP="0034768B">
      <w:pPr>
        <w:numPr>
          <w:ilvl w:val="0"/>
          <w:numId w:val="2"/>
        </w:numPr>
        <w:spacing w:after="74" w:line="259" w:lineRule="auto"/>
        <w:ind w:right="46"/>
        <w:jc w:val="left"/>
      </w:pPr>
      <w:r>
        <w:t xml:space="preserve">This policy is established in accordance with the ICT Enterprise Solutions guidelines, please refer to </w:t>
      </w:r>
      <w:hyperlink r:id="rId12" w:history="1">
        <w:r w:rsidRPr="00424928">
          <w:rPr>
            <w:rStyle w:val="Hyperlink"/>
          </w:rPr>
          <w:t>Electronic Funds Transfer Standards</w:t>
        </w:r>
      </w:hyperlink>
      <w:r w:rsidRPr="00424928">
        <w:t xml:space="preserve"> </w:t>
      </w:r>
      <w:r>
        <w:t>for more details</w:t>
      </w:r>
      <w:r w:rsidR="007F49ED">
        <w:t>.</w:t>
      </w:r>
    </w:p>
    <w:p w14:paraId="40F70A3E" w14:textId="77777777" w:rsidR="0034768B" w:rsidRDefault="0034768B" w:rsidP="0034768B">
      <w:pPr>
        <w:pStyle w:val="ListParagraph"/>
        <w:ind w:left="705" w:right="46" w:firstLine="0"/>
      </w:pPr>
    </w:p>
    <w:p w14:paraId="6050C696" w14:textId="606D51DF" w:rsidR="0034768B" w:rsidRDefault="0034768B" w:rsidP="0034768B">
      <w:pPr>
        <w:pStyle w:val="ListParagraph"/>
        <w:numPr>
          <w:ilvl w:val="0"/>
          <w:numId w:val="2"/>
        </w:numPr>
        <w:ind w:right="46"/>
      </w:pPr>
      <w:r>
        <w:t>The Electronic Funds Transfer (</w:t>
      </w:r>
      <w:r w:rsidR="0085501E">
        <w:t>EFT</w:t>
      </w:r>
      <w:r>
        <w:t xml:space="preserve">) process is a widely used solution by organizations to transmit payment instructions to financial institutions for the benefit of staff, companies and other entities. UNDP utilizes the </w:t>
      </w:r>
      <w:r w:rsidR="0085501E">
        <w:t>Quantum</w:t>
      </w:r>
      <w:r>
        <w:t xml:space="preserve"> </w:t>
      </w:r>
      <w:r w:rsidR="00674D2C">
        <w:t xml:space="preserve">Suppliers </w:t>
      </w:r>
      <w:r>
        <w:t xml:space="preserve">and Accounts Payable/payroll/ </w:t>
      </w:r>
      <w:r w:rsidR="0085501E">
        <w:t xml:space="preserve">Expense </w:t>
      </w:r>
      <w:r>
        <w:t>modules</w:t>
      </w:r>
      <w:r w:rsidR="00EE6AAE">
        <w:t xml:space="preserve"> and Treasury Management System (TMS)</w:t>
      </w:r>
      <w:r>
        <w:t xml:space="preserve"> to process payments and create </w:t>
      </w:r>
      <w:r w:rsidR="0085501E">
        <w:t>EFT</w:t>
      </w:r>
      <w:r>
        <w:t xml:space="preserve"> Files. UNDP promotes the use of </w:t>
      </w:r>
      <w:r w:rsidR="0085501E">
        <w:t>EFT</w:t>
      </w:r>
      <w:r>
        <w:t xml:space="preserve"> in order to reduce costs and improve payment processing security and efficiency. This document establishes the framework for </w:t>
      </w:r>
      <w:r w:rsidR="0085501E">
        <w:t>EFT</w:t>
      </w:r>
      <w:r>
        <w:t xml:space="preserve"> processes, standards and guidelines for UNDP Information and Communications Technologies (ICT) resources and data. </w:t>
      </w:r>
    </w:p>
    <w:p w14:paraId="15DF4F12" w14:textId="77777777" w:rsidR="0034768B" w:rsidRDefault="0034768B" w:rsidP="0034768B">
      <w:pPr>
        <w:pStyle w:val="ListParagraph"/>
        <w:ind w:left="705" w:right="46" w:firstLine="0"/>
      </w:pPr>
    </w:p>
    <w:p w14:paraId="32E93291" w14:textId="3A8487B4" w:rsidR="0034768B" w:rsidRPr="00EA34C3" w:rsidRDefault="0034768B" w:rsidP="0034768B">
      <w:pPr>
        <w:spacing w:line="259" w:lineRule="auto"/>
        <w:ind w:left="720" w:firstLine="0"/>
        <w:jc w:val="left"/>
      </w:pPr>
      <w:bookmarkStart w:id="0" w:name="_Hlk36118309"/>
      <w:r w:rsidRPr="00EA34C3">
        <w:t xml:space="preserve">Note:  </w:t>
      </w:r>
      <w:r w:rsidR="00674D2C" w:rsidRPr="00EA34C3">
        <w:t xml:space="preserve">EFT </w:t>
      </w:r>
      <w:r w:rsidRPr="00EA34C3">
        <w:t xml:space="preserve">is an Electronic Funds Transfer method implemented with certain banks using </w:t>
      </w:r>
      <w:r w:rsidR="00674D2C">
        <w:t xml:space="preserve">a) </w:t>
      </w:r>
      <w:r w:rsidRPr="00EA34C3">
        <w:t>ISO</w:t>
      </w:r>
      <w:r w:rsidR="00674D2C">
        <w:t xml:space="preserve">2022 </w:t>
      </w:r>
      <w:r w:rsidRPr="00EA34C3">
        <w:t>standard</w:t>
      </w:r>
      <w:r w:rsidR="00674D2C">
        <w:t>, b) and any other electronic method using ICT approved security standards</w:t>
      </w:r>
      <w:r w:rsidRPr="00EA34C3">
        <w:t xml:space="preserve">.  </w:t>
      </w:r>
    </w:p>
    <w:bookmarkEnd w:id="0"/>
    <w:p w14:paraId="3745B407" w14:textId="77777777" w:rsidR="0034768B" w:rsidRPr="003B6026" w:rsidRDefault="0034768B" w:rsidP="0034768B">
      <w:pPr>
        <w:ind w:left="0" w:right="46" w:firstLine="0"/>
        <w:rPr>
          <w:lang w:val="en-GB"/>
        </w:rPr>
      </w:pPr>
    </w:p>
    <w:p w14:paraId="081831BC" w14:textId="0541E8B6" w:rsidR="0034768B" w:rsidRDefault="0034768B" w:rsidP="0034768B">
      <w:pPr>
        <w:pStyle w:val="ListParagraph"/>
        <w:numPr>
          <w:ilvl w:val="0"/>
          <w:numId w:val="2"/>
        </w:numPr>
        <w:ind w:right="46"/>
        <w:rPr>
          <w:lang w:val="en-GB"/>
        </w:rPr>
      </w:pPr>
      <w:r w:rsidRPr="00975748">
        <w:rPr>
          <w:lang w:val="en-GB"/>
        </w:rPr>
        <w:t>The UNDP</w:t>
      </w:r>
      <w:r>
        <w:rPr>
          <w:lang w:val="en-GB"/>
        </w:rPr>
        <w:t xml:space="preserve"> </w:t>
      </w:r>
      <w:r w:rsidRPr="00975748">
        <w:rPr>
          <w:lang w:val="en-GB"/>
        </w:rPr>
        <w:t xml:space="preserve"> </w:t>
      </w:r>
      <w:r>
        <w:rPr>
          <w:lang w:val="en-GB"/>
        </w:rPr>
        <w:t>Straight Through Processing (STP) i</w:t>
      </w:r>
      <w:r w:rsidRPr="00975748">
        <w:rPr>
          <w:lang w:val="en-GB"/>
        </w:rPr>
        <w:t xml:space="preserve">nterface </w:t>
      </w:r>
      <w:r>
        <w:rPr>
          <w:lang w:val="en-GB"/>
        </w:rPr>
        <w:t xml:space="preserve">with various banks using </w:t>
      </w:r>
      <w:r w:rsidRPr="00975748">
        <w:rPr>
          <w:lang w:val="en-GB"/>
        </w:rPr>
        <w:t xml:space="preserve">a computer software program, attendant electronic transmission, authentication/confirmation protocols and business processes that converts and communicates a file of payment instructions produced by UNDP’S </w:t>
      </w:r>
      <w:r w:rsidR="0085501E">
        <w:rPr>
          <w:lang w:val="en-GB"/>
        </w:rPr>
        <w:t>Quantum</w:t>
      </w:r>
      <w:r w:rsidRPr="00975748">
        <w:rPr>
          <w:lang w:val="en-GB"/>
        </w:rPr>
        <w:t xml:space="preserve"> to a format (</w:t>
      </w:r>
      <w:r>
        <w:rPr>
          <w:lang w:val="en-GB"/>
        </w:rPr>
        <w:t>ISO 20022</w:t>
      </w:r>
      <w:r w:rsidR="0085501E">
        <w:rPr>
          <w:lang w:val="en-GB"/>
        </w:rPr>
        <w:t xml:space="preserve"> pain V3 payment file</w:t>
      </w:r>
      <w:r w:rsidR="00674D2C">
        <w:rPr>
          <w:lang w:val="en-GB"/>
        </w:rPr>
        <w:t xml:space="preserve"> or Universal Flat File – UFF) </w:t>
      </w:r>
      <w:r w:rsidRPr="00975748">
        <w:rPr>
          <w:lang w:val="en-GB"/>
        </w:rPr>
        <w:t>that is compatible with and can be processed in Bank</w:t>
      </w:r>
      <w:r>
        <w:rPr>
          <w:lang w:val="en-GB"/>
        </w:rPr>
        <w:t>s’</w:t>
      </w:r>
      <w:r w:rsidRPr="00975748">
        <w:rPr>
          <w:lang w:val="en-GB"/>
        </w:rPr>
        <w:t xml:space="preserve"> processing environment. </w:t>
      </w:r>
    </w:p>
    <w:p w14:paraId="2338ADD3" w14:textId="77777777" w:rsidR="0034768B" w:rsidRDefault="0034768B" w:rsidP="0034768B">
      <w:pPr>
        <w:ind w:left="705" w:right="-13" w:firstLine="0"/>
        <w:rPr>
          <w:lang w:val="en-GB"/>
        </w:rPr>
      </w:pPr>
    </w:p>
    <w:p w14:paraId="507137CA" w14:textId="4C894A5C" w:rsidR="0034768B" w:rsidRDefault="0034768B" w:rsidP="0034768B">
      <w:pPr>
        <w:ind w:left="705" w:right="-13" w:firstLine="0"/>
        <w:rPr>
          <w:lang w:val="en-GB"/>
        </w:rPr>
      </w:pPr>
      <w:r w:rsidRPr="00975748">
        <w:rPr>
          <w:lang w:val="en-GB"/>
        </w:rPr>
        <w:t>The Interface also sends back and facilitates the collection of bank statements from UNDP’S banks</w:t>
      </w:r>
      <w:r>
        <w:rPr>
          <w:lang w:val="en-GB"/>
        </w:rPr>
        <w:t xml:space="preserve"> which are then processed by UNDP server for automatic uploads into </w:t>
      </w:r>
      <w:r w:rsidR="0085501E">
        <w:rPr>
          <w:lang w:val="en-GB"/>
        </w:rPr>
        <w:t>Quantum</w:t>
      </w:r>
      <w:r>
        <w:rPr>
          <w:lang w:val="en-GB"/>
        </w:rPr>
        <w:t xml:space="preserve"> facilitating the auto B2B process</w:t>
      </w:r>
      <w:r w:rsidRPr="00975748">
        <w:rPr>
          <w:lang w:val="en-GB"/>
        </w:rPr>
        <w:t xml:space="preserve">. </w:t>
      </w:r>
    </w:p>
    <w:p w14:paraId="22762CCE" w14:textId="77777777" w:rsidR="0034768B" w:rsidRDefault="0034768B" w:rsidP="0034768B">
      <w:pPr>
        <w:ind w:left="705" w:right="-13" w:firstLine="0"/>
        <w:rPr>
          <w:lang w:val="en-GB"/>
        </w:rPr>
      </w:pPr>
    </w:p>
    <w:p w14:paraId="2AA1AE4F" w14:textId="6DBED1B6" w:rsidR="0034768B" w:rsidRDefault="0034768B" w:rsidP="0034768B">
      <w:pPr>
        <w:ind w:left="705" w:right="-13" w:firstLine="0"/>
      </w:pPr>
      <w:r w:rsidRPr="00975748">
        <w:rPr>
          <w:lang w:val="en-GB"/>
        </w:rPr>
        <w:t>Electronic Funds Transfer (</w:t>
      </w:r>
      <w:r w:rsidR="0085501E">
        <w:rPr>
          <w:lang w:val="en-GB"/>
        </w:rPr>
        <w:t>EFT</w:t>
      </w:r>
      <w:r w:rsidRPr="00975748">
        <w:rPr>
          <w:lang w:val="en-GB"/>
        </w:rPr>
        <w:t xml:space="preserve">) payment files are produced only after </w:t>
      </w:r>
      <w:r w:rsidR="00EE6AAE">
        <w:rPr>
          <w:lang w:val="en-GB"/>
        </w:rPr>
        <w:t xml:space="preserve">successful completion of </w:t>
      </w:r>
      <w:r>
        <w:rPr>
          <w:lang w:val="en-GB"/>
        </w:rPr>
        <w:t>Global Payroll/</w:t>
      </w:r>
      <w:r w:rsidR="0085501E">
        <w:rPr>
          <w:lang w:val="en-GB"/>
        </w:rPr>
        <w:t xml:space="preserve"> Payment </w:t>
      </w:r>
      <w:r w:rsidR="00EE6AAE">
        <w:rPr>
          <w:lang w:val="en-GB"/>
        </w:rPr>
        <w:t>P</w:t>
      </w:r>
      <w:r w:rsidR="0085501E">
        <w:rPr>
          <w:lang w:val="en-GB"/>
        </w:rPr>
        <w:t>rocess Request</w:t>
      </w:r>
      <w:r w:rsidR="00EE6AAE">
        <w:rPr>
          <w:lang w:val="en-GB"/>
        </w:rPr>
        <w:t xml:space="preserve"> (PPR)</w:t>
      </w:r>
      <w:r>
        <w:rPr>
          <w:lang w:val="en-GB"/>
        </w:rPr>
        <w:t xml:space="preserve"> </w:t>
      </w:r>
      <w:r w:rsidR="00EE6AAE">
        <w:rPr>
          <w:lang w:val="en-GB"/>
        </w:rPr>
        <w:t>from Quantum</w:t>
      </w:r>
      <w:r w:rsidR="00EE6AAE" w:rsidRPr="00975748">
        <w:rPr>
          <w:lang w:val="en-GB"/>
        </w:rPr>
        <w:t xml:space="preserve"> </w:t>
      </w:r>
      <w:r w:rsidR="00EE6AAE">
        <w:rPr>
          <w:lang w:val="en-GB"/>
        </w:rPr>
        <w:t>and Treasury Transactions from TMS</w:t>
      </w:r>
      <w:r>
        <w:rPr>
          <w:lang w:val="en-GB"/>
        </w:rPr>
        <w:t>.</w:t>
      </w:r>
      <w:r w:rsidRPr="00975748">
        <w:rPr>
          <w:lang w:val="en-GB"/>
        </w:rPr>
        <w:t xml:space="preserve"> </w:t>
      </w:r>
      <w:r w:rsidR="00907102">
        <w:rPr>
          <w:lang w:val="en-GB"/>
        </w:rPr>
        <w:t xml:space="preserve"> </w:t>
      </w:r>
      <w:r>
        <w:t xml:space="preserve">Please refer to the </w:t>
      </w:r>
      <w:hyperlink r:id="rId13" w:history="1">
        <w:r>
          <w:rPr>
            <w:rStyle w:val="Hyperlink"/>
            <w:color w:val="0070C0"/>
          </w:rPr>
          <w:t>E-</w:t>
        </w:r>
        <w:r w:rsidRPr="00E9628C">
          <w:rPr>
            <w:rStyle w:val="Hyperlink"/>
            <w:color w:val="0070C0"/>
          </w:rPr>
          <w:t xml:space="preserve"> Banking</w:t>
        </w:r>
        <w:r>
          <w:rPr>
            <w:rStyle w:val="Hyperlink"/>
            <w:color w:val="0070C0"/>
          </w:rPr>
          <w:t xml:space="preserve"> with </w:t>
        </w:r>
        <w:r w:rsidR="0085501E">
          <w:rPr>
            <w:rStyle w:val="Hyperlink"/>
            <w:color w:val="0070C0"/>
          </w:rPr>
          <w:t>Quantum</w:t>
        </w:r>
        <w:r>
          <w:rPr>
            <w:rStyle w:val="Hyperlink"/>
            <w:color w:val="0070C0"/>
          </w:rPr>
          <w:t xml:space="preserve"> Design and Implementation </w:t>
        </w:r>
        <w:r w:rsidRPr="00E9628C">
          <w:rPr>
            <w:rStyle w:val="Hyperlink"/>
            <w:color w:val="0070C0"/>
          </w:rPr>
          <w:t>Guidelines</w:t>
        </w:r>
      </w:hyperlink>
      <w:r w:rsidRPr="00E9628C">
        <w:rPr>
          <w:color w:val="0070C0"/>
        </w:rPr>
        <w:t xml:space="preserve"> </w:t>
      </w:r>
      <w:r>
        <w:t xml:space="preserve">issued by UNDP OIMT and Treasury for further information. </w:t>
      </w:r>
    </w:p>
    <w:p w14:paraId="17A8CD84" w14:textId="77777777" w:rsidR="0034768B" w:rsidRPr="00975748" w:rsidRDefault="0034768B" w:rsidP="0034768B">
      <w:pPr>
        <w:spacing w:after="21" w:line="259" w:lineRule="auto"/>
        <w:ind w:left="720" w:firstLine="0"/>
        <w:jc w:val="left"/>
        <w:rPr>
          <w:lang w:val="en-GB"/>
        </w:rPr>
      </w:pPr>
      <w:r w:rsidRPr="00975748">
        <w:rPr>
          <w:lang w:val="en-GB"/>
        </w:rPr>
        <w:t xml:space="preserve"> </w:t>
      </w:r>
    </w:p>
    <w:p w14:paraId="41E0F900" w14:textId="259061CE" w:rsidR="0034768B" w:rsidRPr="00975748" w:rsidRDefault="0034768B" w:rsidP="0034768B">
      <w:pPr>
        <w:pStyle w:val="ListParagraph"/>
        <w:numPr>
          <w:ilvl w:val="0"/>
          <w:numId w:val="2"/>
        </w:numPr>
        <w:ind w:right="46"/>
        <w:rPr>
          <w:lang w:val="en-GB"/>
        </w:rPr>
      </w:pPr>
      <w:r w:rsidRPr="00975748">
        <w:rPr>
          <w:lang w:val="en-GB"/>
        </w:rPr>
        <w:t xml:space="preserve">The purpose of the Interface is to facilitate the routing of </w:t>
      </w:r>
      <w:r>
        <w:rPr>
          <w:lang w:val="en-GB"/>
        </w:rPr>
        <w:t>payments</w:t>
      </w:r>
      <w:r w:rsidRPr="00975748">
        <w:rPr>
          <w:lang w:val="en-GB"/>
        </w:rPr>
        <w:t xml:space="preserve"> to UNDP’S disbursing banks and collection of bank statements from UNDP’S reporting banks. </w:t>
      </w:r>
    </w:p>
    <w:p w14:paraId="6EBD49BE" w14:textId="77777777" w:rsidR="0034768B" w:rsidRDefault="0034768B" w:rsidP="0034768B">
      <w:pPr>
        <w:ind w:left="345" w:right="-13" w:firstLine="0"/>
      </w:pPr>
      <w:r w:rsidRPr="00975748">
        <w:rPr>
          <w:lang w:val="en-GB"/>
        </w:rPr>
        <w:t xml:space="preserve"> </w:t>
      </w:r>
      <w:r>
        <w:t xml:space="preserve">  </w:t>
      </w:r>
    </w:p>
    <w:p w14:paraId="4F5B1AB5" w14:textId="1872712B" w:rsidR="0034768B" w:rsidRDefault="0034768B" w:rsidP="00EA34C3">
      <w:pPr>
        <w:spacing w:after="43"/>
        <w:ind w:right="46" w:hanging="25"/>
      </w:pPr>
      <w:r>
        <w:t xml:space="preserve">It should be noted that </w:t>
      </w:r>
      <w:r w:rsidR="0085501E">
        <w:t>Quantum</w:t>
      </w:r>
      <w:r>
        <w:t xml:space="preserve"> </w:t>
      </w:r>
      <w:r w:rsidR="00A72EF6">
        <w:t>PPR</w:t>
      </w:r>
      <w:r w:rsidR="000F076A">
        <w:t xml:space="preserve"> </w:t>
      </w:r>
      <w:r>
        <w:t xml:space="preserve"> run for each bank account is set up in accordance with the selected interface, and therefore will create a file that is specific only to the method. A country office may be utilizing multiple processes. Each one of them will require a distinct </w:t>
      </w:r>
      <w:r w:rsidR="0085501E">
        <w:t>Quantum</w:t>
      </w:r>
      <w:r>
        <w:t xml:space="preserve"> </w:t>
      </w:r>
      <w:r w:rsidR="00A72EF6">
        <w:t>PPR</w:t>
      </w:r>
      <w:r w:rsidR="0085501E">
        <w:t>.</w:t>
      </w:r>
    </w:p>
    <w:p w14:paraId="751C5FAD" w14:textId="77777777" w:rsidR="0034768B" w:rsidRDefault="0034768B" w:rsidP="0034768B">
      <w:pPr>
        <w:pStyle w:val="ListParagraph"/>
        <w:ind w:left="705" w:right="46" w:firstLine="0"/>
        <w:rPr>
          <w:lang w:val="en-GB"/>
        </w:rPr>
      </w:pPr>
    </w:p>
    <w:p w14:paraId="5C8F6C74" w14:textId="42513CB1" w:rsidR="0034768B" w:rsidRPr="00975748" w:rsidRDefault="0034768B" w:rsidP="0034768B">
      <w:pPr>
        <w:numPr>
          <w:ilvl w:val="0"/>
          <w:numId w:val="2"/>
        </w:numPr>
        <w:spacing w:after="302"/>
        <w:ind w:right="46"/>
        <w:rPr>
          <w:lang w:val="en-GB"/>
        </w:rPr>
      </w:pPr>
      <w:r w:rsidRPr="00975748">
        <w:rPr>
          <w:lang w:val="en-GB"/>
        </w:rPr>
        <w:t xml:space="preserve">Of </w:t>
      </w:r>
      <w:r w:rsidRPr="00733490">
        <w:t>the</w:t>
      </w:r>
      <w:r w:rsidRPr="00975748">
        <w:rPr>
          <w:lang w:val="en-GB"/>
        </w:rPr>
        <w:t xml:space="preserve"> </w:t>
      </w:r>
      <w:r>
        <w:rPr>
          <w:lang w:val="en-GB"/>
        </w:rPr>
        <w:t xml:space="preserve">various </w:t>
      </w:r>
      <w:r w:rsidRPr="00975748">
        <w:rPr>
          <w:lang w:val="en-GB"/>
        </w:rPr>
        <w:t xml:space="preserve">payment formats in </w:t>
      </w:r>
      <w:r w:rsidR="0085501E">
        <w:rPr>
          <w:lang w:val="en-GB"/>
        </w:rPr>
        <w:t>Quantum</w:t>
      </w:r>
      <w:r w:rsidRPr="00975748">
        <w:rPr>
          <w:lang w:val="en-GB"/>
        </w:rPr>
        <w:t xml:space="preserve"> (Manual Checks,</w:t>
      </w:r>
      <w:r>
        <w:rPr>
          <w:lang w:val="en-GB"/>
        </w:rPr>
        <w:t xml:space="preserve"> Wire,</w:t>
      </w:r>
      <w:r w:rsidRPr="00975748">
        <w:rPr>
          <w:lang w:val="en-GB"/>
        </w:rPr>
        <w:t xml:space="preserve"> System Checks and </w:t>
      </w:r>
      <w:r w:rsidR="0085501E">
        <w:rPr>
          <w:lang w:val="en-GB"/>
        </w:rPr>
        <w:t>EFT</w:t>
      </w:r>
      <w:r w:rsidRPr="00975748">
        <w:rPr>
          <w:lang w:val="en-GB"/>
        </w:rPr>
        <w:t xml:space="preserve">), only </w:t>
      </w:r>
      <w:r w:rsidR="0085501E">
        <w:rPr>
          <w:lang w:val="en-GB"/>
        </w:rPr>
        <w:t>EFT</w:t>
      </w:r>
      <w:r w:rsidRPr="00975748">
        <w:rPr>
          <w:lang w:val="en-GB"/>
        </w:rPr>
        <w:t xml:space="preserve"> (Electronic Funds Transfer) payment format is processed by the Interface. </w:t>
      </w:r>
      <w:r>
        <w:rPr>
          <w:lang w:val="en-GB"/>
        </w:rPr>
        <w:t xml:space="preserve"> </w:t>
      </w:r>
      <w:r w:rsidR="0085501E">
        <w:rPr>
          <w:lang w:val="en-GB"/>
        </w:rPr>
        <w:t>EFT</w:t>
      </w:r>
      <w:r w:rsidRPr="00975748">
        <w:rPr>
          <w:lang w:val="en-GB"/>
        </w:rPr>
        <w:t xml:space="preserve"> is the preferred mode of payment whenever possible as it is cheaper, more efficient and eliminates cheque usage. In </w:t>
      </w:r>
      <w:r w:rsidR="0085501E">
        <w:rPr>
          <w:lang w:val="en-GB"/>
        </w:rPr>
        <w:t>Quantum</w:t>
      </w:r>
      <w:r w:rsidRPr="00975748">
        <w:rPr>
          <w:lang w:val="en-GB"/>
        </w:rPr>
        <w:t xml:space="preserve">, </w:t>
      </w:r>
      <w:r w:rsidR="0085501E">
        <w:rPr>
          <w:lang w:val="en-GB"/>
        </w:rPr>
        <w:t>EFT</w:t>
      </w:r>
      <w:r w:rsidRPr="00975748">
        <w:rPr>
          <w:lang w:val="en-GB"/>
        </w:rPr>
        <w:t xml:space="preserve"> is configured for </w:t>
      </w:r>
      <w:r w:rsidR="0085501E">
        <w:rPr>
          <w:lang w:val="en-GB"/>
        </w:rPr>
        <w:t>2</w:t>
      </w:r>
      <w:r w:rsidRPr="00975748">
        <w:rPr>
          <w:lang w:val="en-GB"/>
        </w:rPr>
        <w:t xml:space="preserve"> formats, UFF</w:t>
      </w:r>
      <w:r>
        <w:rPr>
          <w:lang w:val="en-GB"/>
        </w:rPr>
        <w:t xml:space="preserve">, </w:t>
      </w:r>
      <w:r w:rsidR="0085501E">
        <w:rPr>
          <w:lang w:val="en-GB"/>
        </w:rPr>
        <w:t>EFT</w:t>
      </w:r>
      <w:r w:rsidRPr="00975748">
        <w:rPr>
          <w:lang w:val="en-GB"/>
        </w:rPr>
        <w:t>. The UFF format is used by country offices for interfaces with local banks</w:t>
      </w:r>
      <w:r>
        <w:rPr>
          <w:lang w:val="en-GB"/>
        </w:rPr>
        <w:t xml:space="preserve"> which uses EFT terminology on the method of payment</w:t>
      </w:r>
      <w:r w:rsidRPr="00975748">
        <w:rPr>
          <w:lang w:val="en-GB"/>
        </w:rPr>
        <w:t xml:space="preserve">. </w:t>
      </w:r>
    </w:p>
    <w:p w14:paraId="05407AAE" w14:textId="39DB7D7F" w:rsidR="0034768B" w:rsidRPr="003B6026" w:rsidRDefault="0085501E" w:rsidP="0034768B">
      <w:pPr>
        <w:numPr>
          <w:ilvl w:val="0"/>
          <w:numId w:val="2"/>
        </w:numPr>
        <w:spacing w:after="302"/>
        <w:ind w:right="46"/>
        <w:rPr>
          <w:lang w:val="en-GB"/>
        </w:rPr>
      </w:pPr>
      <w:r>
        <w:t>EFT</w:t>
      </w:r>
      <w:r w:rsidR="0034768B">
        <w:t xml:space="preserve"> payments must be documented and approved subject to the ICF.  Offices must document a written SOP where an EFT solution is established using e-banking web application with the local </w:t>
      </w:r>
      <w:r w:rsidR="0034768B">
        <w:lastRenderedPageBreak/>
        <w:t xml:space="preserve">bank.  </w:t>
      </w:r>
      <w:r w:rsidR="002A217D" w:rsidRPr="00F71C33">
        <w:rPr>
          <w:color w:val="auto"/>
        </w:rPr>
        <w:t>Only the UNDP Treasurer or designated officials shall grant the authority to the CO Representative to establish an EFT</w:t>
      </w:r>
      <w:r w:rsidR="002A217D">
        <w:rPr>
          <w:color w:val="auto"/>
        </w:rPr>
        <w:t xml:space="preserve"> </w:t>
      </w:r>
      <w:r w:rsidR="002A217D" w:rsidRPr="00F71C33">
        <w:rPr>
          <w:color w:val="auto"/>
        </w:rPr>
        <w:t>local interface</w:t>
      </w:r>
      <w:r w:rsidR="002A217D">
        <w:rPr>
          <w:color w:val="auto"/>
        </w:rPr>
        <w:t xml:space="preserve"> at CO level</w:t>
      </w:r>
      <w:r w:rsidR="002A217D" w:rsidRPr="00F71C33">
        <w:rPr>
          <w:color w:val="auto"/>
        </w:rPr>
        <w:t xml:space="preserve">. </w:t>
      </w:r>
      <w:r w:rsidR="002A217D">
        <w:rPr>
          <w:color w:val="auto"/>
        </w:rPr>
        <w:t xml:space="preserve"> </w:t>
      </w:r>
      <w:r w:rsidR="0034768B">
        <w:t>Treasury prescribed template of the SOP is available on the procedural section.</w:t>
      </w:r>
    </w:p>
    <w:p w14:paraId="15AF2534" w14:textId="2D7DB717" w:rsidR="0034768B" w:rsidRDefault="002A217D" w:rsidP="0034768B">
      <w:pPr>
        <w:numPr>
          <w:ilvl w:val="0"/>
          <w:numId w:val="2"/>
        </w:numPr>
        <w:spacing w:after="302"/>
        <w:ind w:right="46"/>
        <w:rPr>
          <w:lang w:val="en-GB"/>
        </w:rPr>
      </w:pPr>
      <w:r>
        <w:rPr>
          <w:lang w:val="en-GB"/>
        </w:rPr>
        <w:t>Suppliers’</w:t>
      </w:r>
      <w:r w:rsidRPr="001465B2">
        <w:rPr>
          <w:lang w:val="en-GB"/>
        </w:rPr>
        <w:t xml:space="preserve"> </w:t>
      </w:r>
      <w:r w:rsidR="0034768B" w:rsidRPr="001465B2">
        <w:rPr>
          <w:lang w:val="en-GB"/>
        </w:rPr>
        <w:t>Profiles</w:t>
      </w:r>
      <w:r w:rsidR="0034768B" w:rsidRPr="003B6026">
        <w:rPr>
          <w:lang w:val="en-GB"/>
        </w:rPr>
        <w:t xml:space="preserve">/Staff profiles </w:t>
      </w:r>
      <w:r w:rsidR="0034768B" w:rsidRPr="001465B2">
        <w:rPr>
          <w:lang w:val="en-GB"/>
        </w:rPr>
        <w:t xml:space="preserve">and banking information in those profiles must be accurately set up in </w:t>
      </w:r>
      <w:r w:rsidR="0085501E">
        <w:rPr>
          <w:lang w:val="en-GB"/>
        </w:rPr>
        <w:t>Quantum</w:t>
      </w:r>
      <w:r w:rsidR="0034768B" w:rsidRPr="001465B2">
        <w:rPr>
          <w:lang w:val="en-GB"/>
        </w:rPr>
        <w:t xml:space="preserve"> </w:t>
      </w:r>
      <w:r w:rsidR="0034768B" w:rsidRPr="00733490">
        <w:t>so</w:t>
      </w:r>
      <w:r w:rsidR="0034768B" w:rsidRPr="001465B2">
        <w:rPr>
          <w:lang w:val="en-GB"/>
        </w:rPr>
        <w:t xml:space="preserve"> that </w:t>
      </w:r>
      <w:r w:rsidR="0085501E">
        <w:rPr>
          <w:lang w:val="en-GB"/>
        </w:rPr>
        <w:t>EFT</w:t>
      </w:r>
      <w:r w:rsidR="0034768B" w:rsidRPr="001465B2">
        <w:rPr>
          <w:lang w:val="en-GB"/>
        </w:rPr>
        <w:t xml:space="preserve"> payments may be successfully completed. Inaccurate banking information will result in returned or delayed payments. </w:t>
      </w:r>
    </w:p>
    <w:p w14:paraId="38EF9530" w14:textId="77777777" w:rsidR="0034768B" w:rsidRDefault="0034768B" w:rsidP="0034768B">
      <w:pPr>
        <w:spacing w:after="302"/>
        <w:ind w:left="0" w:right="46" w:firstLine="0"/>
        <w:rPr>
          <w:lang w:val="en-GB"/>
        </w:rPr>
      </w:pPr>
    </w:p>
    <w:p w14:paraId="5A3B351E" w14:textId="77777777" w:rsidR="0034768B" w:rsidRDefault="0034768B" w:rsidP="0034768B">
      <w:pPr>
        <w:spacing w:after="302"/>
        <w:ind w:left="0" w:right="46" w:firstLine="0"/>
        <w:rPr>
          <w:lang w:val="en-GB"/>
        </w:rPr>
      </w:pPr>
    </w:p>
    <w:p w14:paraId="2C71A235" w14:textId="77777777" w:rsidR="0034768B" w:rsidRDefault="0034768B" w:rsidP="0034768B">
      <w:pPr>
        <w:spacing w:after="302"/>
        <w:ind w:left="0" w:right="46" w:firstLine="0"/>
        <w:rPr>
          <w:lang w:val="en-GB"/>
        </w:rPr>
      </w:pPr>
    </w:p>
    <w:sectPr w:rsidR="0034768B">
      <w:headerReference w:type="even" r:id="rId14"/>
      <w:headerReference w:type="default" r:id="rId15"/>
      <w:footerReference w:type="even" r:id="rId16"/>
      <w:footerReference w:type="default" r:id="rId17"/>
      <w:headerReference w:type="first" r:id="rId18"/>
      <w:footerReference w:type="first" r:id="rId19"/>
      <w:pgSz w:w="11906" w:h="16838"/>
      <w:pgMar w:top="1440" w:right="845"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AB2D0" w14:textId="77777777" w:rsidR="00DC0AC8" w:rsidRDefault="00DC0AC8" w:rsidP="00227ADD">
      <w:pPr>
        <w:spacing w:line="240" w:lineRule="auto"/>
      </w:pPr>
      <w:r>
        <w:separator/>
      </w:r>
    </w:p>
  </w:endnote>
  <w:endnote w:type="continuationSeparator" w:id="0">
    <w:p w14:paraId="211B579A" w14:textId="77777777" w:rsidR="00DC0AC8" w:rsidRDefault="00DC0AC8" w:rsidP="00227A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9E990" w14:textId="77777777" w:rsidR="002216DD" w:rsidRDefault="00221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7E405" w14:textId="68476076" w:rsidR="00227ADD" w:rsidRDefault="00975748">
    <w:pPr>
      <w:pStyle w:val="Footer"/>
    </w:pPr>
    <w:r>
      <w:t xml:space="preserve">Page </w:t>
    </w:r>
    <w:r>
      <w:rPr>
        <w:b/>
      </w:rPr>
      <w:fldChar w:fldCharType="begin"/>
    </w:r>
    <w:r>
      <w:rPr>
        <w:b/>
      </w:rPr>
      <w:instrText xml:space="preserve"> PAGE  \* Arabic  \* MERGEFORMAT </w:instrText>
    </w:r>
    <w:r>
      <w:rPr>
        <w:b/>
      </w:rPr>
      <w:fldChar w:fldCharType="separate"/>
    </w:r>
    <w:r w:rsidR="00483105">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sidR="00483105">
      <w:rPr>
        <w:b/>
        <w:noProof/>
      </w:rPr>
      <w:t>4</w:t>
    </w:r>
    <w:r>
      <w:rPr>
        <w:b/>
      </w:rPr>
      <w:fldChar w:fldCharType="end"/>
    </w:r>
    <w:r>
      <w:ptab w:relativeTo="margin" w:alignment="center" w:leader="none"/>
    </w:r>
    <w:r w:rsidRPr="00975748">
      <w:t>Effective Date:</w:t>
    </w:r>
    <w:r>
      <w:t xml:space="preserve"> </w:t>
    </w:r>
    <w:r w:rsidR="00C668ED" w:rsidRPr="00C668ED">
      <w:t>12/04/2020</w:t>
    </w:r>
    <w:r w:rsidR="00C668ED" w:rsidRPr="00C668ED">
      <w:t xml:space="preserve"> </w:t>
    </w:r>
    <w:r>
      <w:ptab w:relativeTo="margin" w:alignment="right" w:leader="none"/>
    </w:r>
    <w:r w:rsidRPr="00975748">
      <w:t>Version #:</w:t>
    </w:r>
    <w:r>
      <w:t xml:space="preserve"> </w:t>
    </w:r>
    <w:sdt>
      <w:sdtPr>
        <w:alias w:val="POPPRefItemVersion"/>
        <w:tag w:val="UNDP_POPP_REFITEM_VERSION"/>
        <w:id w:val="1768880536"/>
        <w:placeholder>
          <w:docPart w:val="0E1B500DCAF047069A49349CE4965B58"/>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FD2811A9-A6FE-4A94-9F31-B55CE5606B70}"/>
        <w:text/>
      </w:sdtPr>
      <w:sdtContent>
        <w:r w:rsidR="00424997">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94F6B" w14:textId="77777777" w:rsidR="002216DD" w:rsidRDefault="00221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B8CB0" w14:textId="77777777" w:rsidR="00DC0AC8" w:rsidRDefault="00DC0AC8" w:rsidP="00227ADD">
      <w:pPr>
        <w:spacing w:line="240" w:lineRule="auto"/>
      </w:pPr>
      <w:r>
        <w:separator/>
      </w:r>
    </w:p>
  </w:footnote>
  <w:footnote w:type="continuationSeparator" w:id="0">
    <w:p w14:paraId="198961F0" w14:textId="77777777" w:rsidR="00DC0AC8" w:rsidRDefault="00DC0AC8" w:rsidP="00227A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E9575" w14:textId="77777777" w:rsidR="002216DD" w:rsidRDefault="00221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8BA1B" w14:textId="5F725584" w:rsidR="00227ADD" w:rsidRDefault="00227ADD" w:rsidP="000B2AE2">
    <w:pPr>
      <w:pStyle w:val="Header"/>
      <w:spacing w:before="100" w:beforeAutospacing="1" w:after="100" w:afterAutospacing="1"/>
      <w:ind w:left="9730" w:right="43"/>
    </w:pPr>
    <w:r w:rsidRPr="00227ADD">
      <w:rPr>
        <w:noProof/>
        <w:color w:val="333333"/>
      </w:rPr>
      <w:drawing>
        <wp:inline distT="0" distB="0" distL="0" distR="0" wp14:anchorId="667F2CA8" wp14:editId="00120B53">
          <wp:extent cx="304800" cy="593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579"/>
                  <a:stretch/>
                </pic:blipFill>
                <pic:spPr bwMode="auto">
                  <a:xfrm>
                    <a:off x="0" y="0"/>
                    <a:ext cx="308590" cy="6008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E9620" w14:textId="77777777" w:rsidR="002216DD" w:rsidRDefault="00221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33A6C"/>
    <w:multiLevelType w:val="hybridMultilevel"/>
    <w:tmpl w:val="E8C69AC4"/>
    <w:lvl w:ilvl="0" w:tplc="F5706B0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6E6B3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94C95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E0AC6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C850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A64B6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90695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0290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5445C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B97D8F"/>
    <w:multiLevelType w:val="hybridMultilevel"/>
    <w:tmpl w:val="48068028"/>
    <w:lvl w:ilvl="0" w:tplc="E2847BFA">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4C315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AE378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B249C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D2FA9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F046E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C855E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7643E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34CD8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BAE5C33"/>
    <w:multiLevelType w:val="hybridMultilevel"/>
    <w:tmpl w:val="5AF612C2"/>
    <w:lvl w:ilvl="0" w:tplc="EE7007D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664625567">
    <w:abstractNumId w:val="0"/>
  </w:num>
  <w:num w:numId="2" w16cid:durableId="494226452">
    <w:abstractNumId w:val="2"/>
  </w:num>
  <w:num w:numId="3" w16cid:durableId="2115393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DE"/>
    <w:rsid w:val="00015FA6"/>
    <w:rsid w:val="000B2AE2"/>
    <w:rsid w:val="000F076A"/>
    <w:rsid w:val="001241E8"/>
    <w:rsid w:val="001A28EF"/>
    <w:rsid w:val="002216DD"/>
    <w:rsid w:val="00227ADD"/>
    <w:rsid w:val="002A217D"/>
    <w:rsid w:val="0034768B"/>
    <w:rsid w:val="00424997"/>
    <w:rsid w:val="00483105"/>
    <w:rsid w:val="0048514A"/>
    <w:rsid w:val="004C24CC"/>
    <w:rsid w:val="004D2257"/>
    <w:rsid w:val="0051364A"/>
    <w:rsid w:val="005605F8"/>
    <w:rsid w:val="005E0061"/>
    <w:rsid w:val="00674D2C"/>
    <w:rsid w:val="006B74C7"/>
    <w:rsid w:val="007227FE"/>
    <w:rsid w:val="007F49ED"/>
    <w:rsid w:val="0085501E"/>
    <w:rsid w:val="008E12E5"/>
    <w:rsid w:val="00907102"/>
    <w:rsid w:val="0093101B"/>
    <w:rsid w:val="00946E27"/>
    <w:rsid w:val="009675CB"/>
    <w:rsid w:val="00975748"/>
    <w:rsid w:val="00A61003"/>
    <w:rsid w:val="00A72EF6"/>
    <w:rsid w:val="00B64548"/>
    <w:rsid w:val="00B91A11"/>
    <w:rsid w:val="00C668ED"/>
    <w:rsid w:val="00C910B3"/>
    <w:rsid w:val="00C9702F"/>
    <w:rsid w:val="00D209DE"/>
    <w:rsid w:val="00D47FA7"/>
    <w:rsid w:val="00DC0AC8"/>
    <w:rsid w:val="00E37C0D"/>
    <w:rsid w:val="00EA34C3"/>
    <w:rsid w:val="00EE6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1BF46"/>
  <w15:docId w15:val="{5826134F-F11D-4CD0-B7B4-F3FF3FB5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ADD"/>
    <w:pPr>
      <w:tabs>
        <w:tab w:val="center" w:pos="4680"/>
        <w:tab w:val="right" w:pos="9360"/>
      </w:tabs>
      <w:spacing w:line="240" w:lineRule="auto"/>
    </w:pPr>
  </w:style>
  <w:style w:type="character" w:customStyle="1" w:styleId="HeaderChar">
    <w:name w:val="Header Char"/>
    <w:basedOn w:val="DefaultParagraphFont"/>
    <w:link w:val="Header"/>
    <w:uiPriority w:val="99"/>
    <w:rsid w:val="00227ADD"/>
    <w:rPr>
      <w:rFonts w:ascii="Calibri" w:eastAsia="Calibri" w:hAnsi="Calibri" w:cs="Calibri"/>
      <w:color w:val="000000"/>
    </w:rPr>
  </w:style>
  <w:style w:type="paragraph" w:styleId="Footer">
    <w:name w:val="footer"/>
    <w:basedOn w:val="Normal"/>
    <w:link w:val="FooterChar"/>
    <w:uiPriority w:val="99"/>
    <w:unhideWhenUsed/>
    <w:rsid w:val="00227ADD"/>
    <w:pPr>
      <w:tabs>
        <w:tab w:val="center" w:pos="4680"/>
        <w:tab w:val="right" w:pos="9360"/>
      </w:tabs>
      <w:spacing w:line="240" w:lineRule="auto"/>
    </w:pPr>
  </w:style>
  <w:style w:type="character" w:customStyle="1" w:styleId="FooterChar">
    <w:name w:val="Footer Char"/>
    <w:basedOn w:val="DefaultParagraphFont"/>
    <w:link w:val="Footer"/>
    <w:uiPriority w:val="99"/>
    <w:rsid w:val="00227ADD"/>
    <w:rPr>
      <w:rFonts w:ascii="Calibri" w:eastAsia="Calibri" w:hAnsi="Calibri" w:cs="Calibri"/>
      <w:color w:val="000000"/>
    </w:rPr>
  </w:style>
  <w:style w:type="character" w:styleId="PlaceholderText">
    <w:name w:val="Placeholder Text"/>
    <w:basedOn w:val="DefaultParagraphFont"/>
    <w:uiPriority w:val="99"/>
    <w:semiHidden/>
    <w:rsid w:val="00227ADD"/>
    <w:rPr>
      <w:color w:val="808080"/>
    </w:rPr>
  </w:style>
  <w:style w:type="paragraph" w:styleId="BalloonText">
    <w:name w:val="Balloon Text"/>
    <w:basedOn w:val="Normal"/>
    <w:link w:val="BalloonTextChar"/>
    <w:uiPriority w:val="99"/>
    <w:semiHidden/>
    <w:unhideWhenUsed/>
    <w:rsid w:val="009757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748"/>
    <w:rPr>
      <w:rFonts w:ascii="Tahoma" w:eastAsia="Calibri" w:hAnsi="Tahoma" w:cs="Tahoma"/>
      <w:color w:val="000000"/>
      <w:sz w:val="16"/>
      <w:szCs w:val="16"/>
    </w:rPr>
  </w:style>
  <w:style w:type="paragraph" w:styleId="ListParagraph">
    <w:name w:val="List Paragraph"/>
    <w:basedOn w:val="Normal"/>
    <w:uiPriority w:val="34"/>
    <w:qFormat/>
    <w:rsid w:val="0034768B"/>
    <w:pPr>
      <w:spacing w:after="5"/>
      <w:ind w:left="720" w:right="55"/>
      <w:contextualSpacing/>
    </w:pPr>
  </w:style>
  <w:style w:type="character" w:styleId="Hyperlink">
    <w:name w:val="Hyperlink"/>
    <w:basedOn w:val="DefaultParagraphFont"/>
    <w:uiPriority w:val="99"/>
    <w:unhideWhenUsed/>
    <w:rsid w:val="0034768B"/>
    <w:rPr>
      <w:color w:val="0563C1" w:themeColor="hyperlink"/>
      <w:u w:val="single"/>
    </w:rPr>
  </w:style>
  <w:style w:type="paragraph" w:styleId="Revision">
    <w:name w:val="Revision"/>
    <w:hidden/>
    <w:uiPriority w:val="99"/>
    <w:semiHidden/>
    <w:rsid w:val="0085501E"/>
    <w:pPr>
      <w:spacing w:after="0" w:line="240" w:lineRule="auto"/>
    </w:pPr>
    <w:rPr>
      <w:rFonts w:ascii="Calibri" w:eastAsia="Calibri" w:hAnsi="Calibri" w:cs="Calibri"/>
      <w:color w:val="000000"/>
    </w:rPr>
  </w:style>
  <w:style w:type="character" w:styleId="FollowedHyperlink">
    <w:name w:val="FollowedHyperlink"/>
    <w:basedOn w:val="DefaultParagraphFont"/>
    <w:uiPriority w:val="99"/>
    <w:semiHidden/>
    <w:unhideWhenUsed/>
    <w:rsid w:val="00674D2C"/>
    <w:rPr>
      <w:color w:val="954F72" w:themeColor="followedHyperlink"/>
      <w:u w:val="single"/>
    </w:rPr>
  </w:style>
  <w:style w:type="character" w:styleId="CommentReference">
    <w:name w:val="annotation reference"/>
    <w:basedOn w:val="DefaultParagraphFont"/>
    <w:uiPriority w:val="99"/>
    <w:semiHidden/>
    <w:unhideWhenUsed/>
    <w:rsid w:val="004C24CC"/>
    <w:rPr>
      <w:sz w:val="16"/>
      <w:szCs w:val="16"/>
    </w:rPr>
  </w:style>
  <w:style w:type="paragraph" w:styleId="CommentText">
    <w:name w:val="annotation text"/>
    <w:basedOn w:val="Normal"/>
    <w:link w:val="CommentTextChar"/>
    <w:uiPriority w:val="99"/>
    <w:semiHidden/>
    <w:unhideWhenUsed/>
    <w:rsid w:val="004C24CC"/>
    <w:pPr>
      <w:spacing w:line="240" w:lineRule="auto"/>
    </w:pPr>
    <w:rPr>
      <w:sz w:val="20"/>
      <w:szCs w:val="20"/>
    </w:rPr>
  </w:style>
  <w:style w:type="character" w:customStyle="1" w:styleId="CommentTextChar">
    <w:name w:val="Comment Text Char"/>
    <w:basedOn w:val="DefaultParagraphFont"/>
    <w:link w:val="CommentText"/>
    <w:uiPriority w:val="99"/>
    <w:semiHidden/>
    <w:rsid w:val="004C24C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C24CC"/>
    <w:rPr>
      <w:b/>
      <w:bCs/>
    </w:rPr>
  </w:style>
  <w:style w:type="character" w:customStyle="1" w:styleId="CommentSubjectChar">
    <w:name w:val="Comment Subject Char"/>
    <w:basedOn w:val="CommentTextChar"/>
    <w:link w:val="CommentSubject"/>
    <w:uiPriority w:val="99"/>
    <w:semiHidden/>
    <w:rsid w:val="004C24CC"/>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542625">
      <w:bodyDiv w:val="1"/>
      <w:marLeft w:val="0"/>
      <w:marRight w:val="0"/>
      <w:marTop w:val="0"/>
      <w:marBottom w:val="0"/>
      <w:divBdr>
        <w:top w:val="none" w:sz="0" w:space="0" w:color="auto"/>
        <w:left w:val="none" w:sz="0" w:space="0" w:color="auto"/>
        <w:bottom w:val="none" w:sz="0" w:space="0" w:color="auto"/>
        <w:right w:val="none" w:sz="0" w:space="0" w:color="auto"/>
      </w:divBdr>
      <w:divsChild>
        <w:div w:id="225146500">
          <w:marLeft w:val="0"/>
          <w:marRight w:val="0"/>
          <w:marTop w:val="0"/>
          <w:marBottom w:val="0"/>
          <w:divBdr>
            <w:top w:val="none" w:sz="0" w:space="0" w:color="auto"/>
            <w:left w:val="none" w:sz="0" w:space="0" w:color="auto"/>
            <w:bottom w:val="none" w:sz="0" w:space="0" w:color="auto"/>
            <w:right w:val="none" w:sz="0" w:space="0" w:color="auto"/>
          </w:divBdr>
          <w:divsChild>
            <w:div w:id="422343008">
              <w:marLeft w:val="0"/>
              <w:marRight w:val="0"/>
              <w:marTop w:val="0"/>
              <w:marBottom w:val="0"/>
              <w:divBdr>
                <w:top w:val="none" w:sz="0" w:space="0" w:color="auto"/>
                <w:left w:val="single" w:sz="6" w:space="0" w:color="AAAAAA"/>
                <w:bottom w:val="single" w:sz="6" w:space="12" w:color="AAAAAA"/>
                <w:right w:val="single" w:sz="6" w:space="0" w:color="AAAAAA"/>
              </w:divBdr>
            </w:div>
          </w:divsChild>
        </w:div>
      </w:divsChild>
    </w:div>
    <w:div w:id="1131166284">
      <w:bodyDiv w:val="1"/>
      <w:marLeft w:val="0"/>
      <w:marRight w:val="0"/>
      <w:marTop w:val="0"/>
      <w:marBottom w:val="0"/>
      <w:divBdr>
        <w:top w:val="none" w:sz="0" w:space="0" w:color="auto"/>
        <w:left w:val="none" w:sz="0" w:space="0" w:color="auto"/>
        <w:bottom w:val="none" w:sz="0" w:space="0" w:color="auto"/>
        <w:right w:val="none" w:sz="0" w:space="0" w:color="auto"/>
      </w:divBdr>
      <w:divsChild>
        <w:div w:id="1073744871">
          <w:marLeft w:val="0"/>
          <w:marRight w:val="0"/>
          <w:marTop w:val="0"/>
          <w:marBottom w:val="0"/>
          <w:divBdr>
            <w:top w:val="none" w:sz="0" w:space="0" w:color="auto"/>
            <w:left w:val="none" w:sz="0" w:space="0" w:color="auto"/>
            <w:bottom w:val="none" w:sz="0" w:space="0" w:color="auto"/>
            <w:right w:val="none" w:sz="0" w:space="0" w:color="auto"/>
          </w:divBdr>
          <w:divsChild>
            <w:div w:id="1969698121">
              <w:marLeft w:val="0"/>
              <w:marRight w:val="0"/>
              <w:marTop w:val="0"/>
              <w:marBottom w:val="0"/>
              <w:divBdr>
                <w:top w:val="none" w:sz="0" w:space="0" w:color="auto"/>
                <w:left w:val="single" w:sz="6" w:space="0" w:color="AAAAAA"/>
                <w:bottom w:val="single" w:sz="6" w:space="12" w:color="AAAAAA"/>
                <w:right w:val="single" w:sz="6" w:space="0" w:color="AAAAAA"/>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3206"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popp.undp.org/node/282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1B500DCAF047069A49349CE4965B58"/>
        <w:category>
          <w:name w:val="General"/>
          <w:gallery w:val="placeholder"/>
        </w:category>
        <w:types>
          <w:type w:val="bbPlcHdr"/>
        </w:types>
        <w:behaviors>
          <w:behavior w:val="content"/>
        </w:behaviors>
        <w:guid w:val="{DFE0C768-9D28-4913-BE6B-B435D3212394}"/>
      </w:docPartPr>
      <w:docPartBody>
        <w:p w:rsidR="00721B6F" w:rsidRDefault="00B61E06">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F00"/>
    <w:rsid w:val="00007267"/>
    <w:rsid w:val="003F487B"/>
    <w:rsid w:val="00585EBE"/>
    <w:rsid w:val="005E0061"/>
    <w:rsid w:val="005E3E88"/>
    <w:rsid w:val="00721B6F"/>
    <w:rsid w:val="0073039D"/>
    <w:rsid w:val="007F1312"/>
    <w:rsid w:val="00B37407"/>
    <w:rsid w:val="00B61E06"/>
    <w:rsid w:val="00BF7AD0"/>
    <w:rsid w:val="00C25F00"/>
    <w:rsid w:val="00ED5367"/>
    <w:rsid w:val="00FE3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72751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312"/>
    <w:rPr>
      <w:color w:val="808080"/>
    </w:rPr>
  </w:style>
  <w:style w:type="paragraph" w:customStyle="1" w:styleId="839E06A33C8B435B8C5D4AFFB9DB8D53">
    <w:name w:val="839E06A33C8B435B8C5D4AFFB9DB8D53"/>
    <w:rsid w:val="007F1312"/>
    <w:rPr>
      <w:kern w:val="2"/>
      <w:lang w:val="en-NL" w:eastAsia="en-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431</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Information and Communications Technology</TermName>
          <TermId xmlns="http://schemas.microsoft.com/office/infopath/2007/PartnerControls">0315b8b4-4625-4fae-a110-0179dd79663f</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12/04/2020                                                Version #: 3</DLCPolicyLabelValue>
    <UNDP_POPP_EFFECTIVEDATE xmlns="8264c5cc-ec60-4b56-8111-ce635d3d139a">2020-04-11T22:00:00+00:00</UNDP_POPP_EFFECTIVEDATE>
    <UNDP_POPP_REFITEM_VERSION xmlns="8264c5cc-ec60-4b56-8111-ce635d3d139a">3</UNDP_POPP_REFITEM_VERSION>
    <UNDP_POPP_FILEVERSION xmlns="8264c5cc-ec60-4b56-8111-ce635d3d139a" xsi:nil="true"/>
    <UNDP_POPP_ISACTIVE xmlns="8264c5cc-ec60-4b56-8111-ce635d3d139a">true</UNDP_POPP_ISACTIVE>
    <UNDP_POPP_TITLE_EN xmlns="8264c5cc-ec60-4b56-8111-ce635d3d139a">Establishment and Use of Electronic Banking Systems</UNDP_POPP_TITLE_EN>
    <DLCPolicyLabelLock xmlns="e560140e-7b2f-4392-90df-e7567e3021a3" xsi:nil="true"/>
    <DLCPolicyLabelClientValue xmlns="e560140e-7b2f-4392-90df-e7567e3021a3">Effective Date: 12/04/2020                                                Version #: 3.0</DLCPolicyLabelClientValue>
    <UNDP_POPP_BUSINESSUNITID_HIDDEN xmlns="8264c5cc-ec60-4b56-8111-ce635d3d139a" xsi:nil="true"/>
    <_dlc_DocId xmlns="8264c5cc-ec60-4b56-8111-ce635d3d139a">POPP-11-2140</_dlc_DocId>
    <_dlc_DocIdUrl xmlns="8264c5cc-ec60-4b56-8111-ce635d3d139a">
      <Url>https://popp.undp.org/_layouts/15/DocIdRedir.aspx?ID=POPP-11-2140</Url>
      <Description>POPP-11-2140</Description>
    </_dlc_DocIdUrl>
  </documentManagement>
</p:properties>
</file>

<file path=customXml/itemProps1.xml><?xml version="1.0" encoding="utf-8"?>
<ds:datastoreItem xmlns:ds="http://schemas.openxmlformats.org/officeDocument/2006/customXml" ds:itemID="{A7446717-46D5-4E62-9E5B-9AC04ABED1F7}">
  <ds:schemaRefs>
    <ds:schemaRef ds:uri="http://schemas.microsoft.com/sharepoint/v3/contenttype/forms"/>
  </ds:schemaRefs>
</ds:datastoreItem>
</file>

<file path=customXml/itemProps2.xml><?xml version="1.0" encoding="utf-8"?>
<ds:datastoreItem xmlns:ds="http://schemas.openxmlformats.org/officeDocument/2006/customXml" ds:itemID="{10E07BB4-3D4D-4D42-B1AE-A14227DCB271}">
  <ds:schemaRefs>
    <ds:schemaRef ds:uri="http://schemas.microsoft.com/sharepoint/events"/>
  </ds:schemaRefs>
</ds:datastoreItem>
</file>

<file path=customXml/itemProps3.xml><?xml version="1.0" encoding="utf-8"?>
<ds:datastoreItem xmlns:ds="http://schemas.openxmlformats.org/officeDocument/2006/customXml" ds:itemID="{EA18A968-DE10-42B1-99D0-95DBC3E14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188C2-3FE8-4002-8BAC-457006E232C1}">
  <ds:schemaRefs>
    <ds:schemaRef ds:uri="office.server.policy"/>
  </ds:schemaRefs>
</ds:datastoreItem>
</file>

<file path=customXml/itemProps5.xml><?xml version="1.0" encoding="utf-8"?>
<ds:datastoreItem xmlns:ds="http://schemas.openxmlformats.org/officeDocument/2006/customXml" ds:itemID="{FD2811A9-A6FE-4A94-9F31-B55CE5606B7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5</cp:revision>
  <dcterms:created xsi:type="dcterms:W3CDTF">2023-04-19T08:03:00Z</dcterms:created>
  <dcterms:modified xsi:type="dcterms:W3CDTF">2024-05-24T11:22:00Z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1779a650-6a76-4054-b13e-bfbac69e8718</vt:lpwstr>
  </property>
  <property fmtid="{D5CDD505-2E9C-101B-9397-08002B2CF9AE}" pid="4" name="UNDP_POPP_BUSINESSUNIT">
    <vt:lpwstr>431;#Information and Communications Technology|0315b8b4-4625-4fae-a110-0179dd79663f</vt:lpwstr>
  </property>
  <property fmtid="{D5CDD505-2E9C-101B-9397-08002B2CF9AE}" pid="5" name="POPPBusinessProcess">
    <vt:lpwstr/>
  </property>
  <property fmtid="{D5CDD505-2E9C-101B-9397-08002B2CF9AE}" pid="6" name="GrammarlyDocumentId">
    <vt:lpwstr>7c726a7309e829fcb55c100b2b687fbcfa53f6445c9888724a6b8f4fe7f6af83</vt:lpwstr>
  </property>
  <property fmtid="{D5CDD505-2E9C-101B-9397-08002B2CF9AE}" pid="7" name="UNDP_POPP_BUSINESSPROCESS_HIDDEN">
    <vt:lpwstr/>
  </property>
  <property fmtid="{D5CDD505-2E9C-101B-9397-08002B2CF9AE}" pid="8" name="TaxCatchAll">
    <vt:lpwstr>431;#Information and Communications Technology|0315b8b4-4625-4fae-a110-0179dd79663f</vt:lpwstr>
  </property>
  <property fmtid="{D5CDD505-2E9C-101B-9397-08002B2CF9AE}" pid="9" name="l0e6ef0c43e74560bd7f3acd1f5e8571">
    <vt:lpwstr>Information and Communications Technology|0315b8b4-4625-4fae-a110-0179dd79663f</vt:lpwstr>
  </property>
  <property fmtid="{D5CDD505-2E9C-101B-9397-08002B2CF9AE}" pid="10" name="DLCPolicyLabelValue">
    <vt:lpwstr>Effective Date: {Effective Date}                                                Version #: {POPPRefItemVersion}</vt:lpwstr>
  </property>
</Properties>
</file>