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7C97C" w14:textId="77777777" w:rsidR="00AD5AE1" w:rsidRDefault="008B1B87" w:rsidP="006704F3">
      <w:pPr>
        <w:spacing w:line="259" w:lineRule="auto"/>
        <w:ind w:left="0" w:firstLine="0"/>
        <w:jc w:val="left"/>
      </w:pPr>
      <w:r>
        <w:rPr>
          <w:b/>
          <w:sz w:val="28"/>
        </w:rPr>
        <w:t xml:space="preserve">General Management Support (GMS) Fee Set Up and Collection  </w:t>
      </w:r>
    </w:p>
    <w:p w14:paraId="3597C97D" w14:textId="77777777" w:rsidR="00AD5AE1" w:rsidRDefault="008B1B87" w:rsidP="006704F3">
      <w:pPr>
        <w:spacing w:line="259" w:lineRule="auto"/>
        <w:ind w:left="0" w:firstLine="0"/>
        <w:jc w:val="left"/>
      </w:pPr>
      <w:r>
        <w:t xml:space="preserve"> </w:t>
      </w:r>
    </w:p>
    <w:p w14:paraId="3597C97E" w14:textId="77777777" w:rsidR="00AD5AE1" w:rsidRDefault="006704F3" w:rsidP="006704F3">
      <w:pPr>
        <w:numPr>
          <w:ilvl w:val="0"/>
          <w:numId w:val="1"/>
        </w:numPr>
        <w:spacing w:line="259" w:lineRule="auto"/>
        <w:ind w:hanging="360"/>
      </w:pPr>
      <w:r w:rsidRPr="006704F3">
        <w:t xml:space="preserve">Refer </w:t>
      </w:r>
      <w:hyperlink r:id="rId13" w:history="1">
        <w:r w:rsidRPr="006704F3">
          <w:rPr>
            <w:rStyle w:val="Hyperlink"/>
            <w:color w:val="0070C0"/>
          </w:rPr>
          <w:t>POPP Cost Recovery from Other Resources - General Management Support (GMS)</w:t>
        </w:r>
      </w:hyperlink>
      <w:r>
        <w:t>.</w:t>
      </w:r>
      <w:hyperlink r:id="rId14">
        <w:r w:rsidR="008B1B87">
          <w:rPr>
            <w:color w:val="800080"/>
            <w:u w:val="single" w:color="800080"/>
          </w:rPr>
          <w:t xml:space="preserve"> </w:t>
        </w:r>
      </w:hyperlink>
      <w:hyperlink r:id="rId15">
        <w:r w:rsidR="008B1B87">
          <w:rPr>
            <w:color w:val="333333"/>
          </w:rPr>
          <w:t xml:space="preserve"> </w:t>
        </w:r>
      </w:hyperlink>
    </w:p>
    <w:p w14:paraId="3597C97F" w14:textId="77777777" w:rsidR="00AD5AE1" w:rsidRDefault="008B1B87" w:rsidP="006704F3">
      <w:pPr>
        <w:spacing w:line="259" w:lineRule="auto"/>
        <w:ind w:left="0" w:firstLine="0"/>
        <w:jc w:val="left"/>
      </w:pPr>
      <w:r>
        <w:rPr>
          <w:color w:val="333333"/>
        </w:rPr>
        <w:t xml:space="preserve"> </w:t>
      </w:r>
    </w:p>
    <w:p w14:paraId="3597C980" w14:textId="361CC2A4" w:rsidR="00AD5AE1" w:rsidRDefault="008B1B87" w:rsidP="006704F3">
      <w:pPr>
        <w:numPr>
          <w:ilvl w:val="0"/>
          <w:numId w:val="1"/>
        </w:numPr>
        <w:ind w:hanging="360"/>
      </w:pPr>
      <w:r>
        <w:t xml:space="preserve">This section describes the cost recovery rate (GMS fee) collection and set up in the </w:t>
      </w:r>
      <w:r w:rsidR="00902379">
        <w:t>Quantum</w:t>
      </w:r>
      <w:r w:rsidR="00E26673">
        <w:t xml:space="preserve"> </w:t>
      </w:r>
      <w:r>
        <w:t xml:space="preserve">Project Management module.  </w:t>
      </w:r>
    </w:p>
    <w:p w14:paraId="3597C981" w14:textId="77777777" w:rsidR="00AD5AE1" w:rsidRDefault="008B1B87" w:rsidP="006704F3">
      <w:pPr>
        <w:spacing w:line="259" w:lineRule="auto"/>
        <w:ind w:left="0" w:firstLine="0"/>
        <w:jc w:val="left"/>
      </w:pPr>
      <w:r>
        <w:t xml:space="preserve">  </w:t>
      </w:r>
    </w:p>
    <w:p w14:paraId="3597C982" w14:textId="77777777" w:rsidR="00AD5AE1" w:rsidRDefault="008B1B87" w:rsidP="006704F3">
      <w:pPr>
        <w:numPr>
          <w:ilvl w:val="0"/>
          <w:numId w:val="1"/>
        </w:numPr>
        <w:ind w:hanging="360"/>
      </w:pPr>
      <w:r>
        <w:t>Effective collection of cost recovery income is a major component of overall compliance with UNDP’s cost recovery policy. Furthermore, it ensures that the right capacities to manage the non-core resources are sustainably funded. The process starts with the proper negotiation of each donor agreement to reflect the correct cost recovery rate (see</w:t>
      </w:r>
      <w:r w:rsidR="006704F3">
        <w:t xml:space="preserve"> </w:t>
      </w:r>
      <w:hyperlink r:id="rId16" w:history="1">
        <w:r w:rsidR="006704F3" w:rsidRPr="006704F3">
          <w:rPr>
            <w:rStyle w:val="Hyperlink"/>
            <w:color w:val="0070C0"/>
          </w:rPr>
          <w:t>POPP Cost Recovery from Other Resources - General Management Support (GMS)</w:t>
        </w:r>
      </w:hyperlink>
      <w:r w:rsidR="006704F3">
        <w:t xml:space="preserve"> </w:t>
      </w:r>
      <w:r>
        <w:t xml:space="preserve">and continues with the appropriate project set up and the GMS fee to enable UNDP to collect the cost recovery income accurately, transparently, in a timely manner, and in full adherence to the terms stipulated in the donor agreement. </w:t>
      </w:r>
    </w:p>
    <w:p w14:paraId="3597C983" w14:textId="77777777" w:rsidR="00AD5AE1" w:rsidRDefault="008B1B87" w:rsidP="006704F3">
      <w:pPr>
        <w:spacing w:line="259" w:lineRule="auto"/>
        <w:ind w:left="0" w:firstLine="0"/>
        <w:jc w:val="left"/>
      </w:pPr>
      <w:r>
        <w:t xml:space="preserve">  </w:t>
      </w:r>
    </w:p>
    <w:p w14:paraId="3597C984" w14:textId="2E3B5AF2" w:rsidR="00AD5AE1" w:rsidRDefault="008B1B87" w:rsidP="006704F3">
      <w:pPr>
        <w:numPr>
          <w:ilvl w:val="0"/>
          <w:numId w:val="1"/>
        </w:numPr>
        <w:ind w:hanging="360"/>
      </w:pPr>
      <w:r>
        <w:t>Compliance with the cost recovery policy requires offices to set up the project budget in</w:t>
      </w:r>
      <w:r w:rsidR="00E26673">
        <w:t xml:space="preserve"> </w:t>
      </w:r>
      <w:r w:rsidR="00902379">
        <w:t>Quantum</w:t>
      </w:r>
      <w:r>
        <w:t>, including a separate budget line for the GMS component, and reflect the GMS rate and the method of the GMS income collection as ‘earn as you go’. The ‘earn</w:t>
      </w:r>
      <w:r w:rsidR="006704F3">
        <w:t>-</w:t>
      </w:r>
      <w:r>
        <w:t xml:space="preserve">as-you-go' method charges the GMS fee on a transactional basis as expenses are incurred, and automatically credits the office Extra-budgetary accounts, based on the GMS methodology and the department distributions that therefore apply.  </w:t>
      </w:r>
    </w:p>
    <w:p w14:paraId="3597C985" w14:textId="77777777" w:rsidR="00AD5AE1" w:rsidRDefault="008B1B87" w:rsidP="006704F3">
      <w:pPr>
        <w:spacing w:line="259" w:lineRule="auto"/>
        <w:ind w:left="0" w:firstLine="0"/>
        <w:jc w:val="left"/>
      </w:pPr>
      <w:r>
        <w:t xml:space="preserve">  </w:t>
      </w:r>
    </w:p>
    <w:p w14:paraId="3597C986" w14:textId="2114D81C" w:rsidR="00AD5AE1" w:rsidRDefault="008B1B87" w:rsidP="006704F3">
      <w:pPr>
        <w:numPr>
          <w:ilvl w:val="0"/>
          <w:numId w:val="1"/>
        </w:numPr>
        <w:ind w:hanging="360"/>
      </w:pPr>
      <w:r>
        <w:t>Any exceptions to ‘earn as you go’ must be supported by a sound business case and be approved by the C</w:t>
      </w:r>
      <w:r w:rsidR="00555174">
        <w:t>hief Finance Officer</w:t>
      </w:r>
      <w:r>
        <w:t xml:space="preserve">. </w:t>
      </w:r>
      <w:r w:rsidR="00D22A8C">
        <w:t xml:space="preserve">Requests for </w:t>
      </w:r>
      <w:r>
        <w:t xml:space="preserve">exceptions will only be considered for transition purposes and will be for a limited time frame. </w:t>
      </w:r>
    </w:p>
    <w:p w14:paraId="3597C987" w14:textId="77777777" w:rsidR="00AD5AE1" w:rsidRDefault="008B1B87" w:rsidP="006704F3">
      <w:pPr>
        <w:spacing w:line="259" w:lineRule="auto"/>
        <w:ind w:left="0" w:firstLine="0"/>
        <w:jc w:val="left"/>
      </w:pPr>
      <w:r>
        <w:t xml:space="preserve"> </w:t>
      </w:r>
    </w:p>
    <w:p w14:paraId="3597C988" w14:textId="3D44CFC4" w:rsidR="00AD5AE1" w:rsidRDefault="008B1B87" w:rsidP="006704F3">
      <w:pPr>
        <w:numPr>
          <w:ilvl w:val="0"/>
          <w:numId w:val="1"/>
        </w:numPr>
        <w:ind w:hanging="360"/>
      </w:pPr>
      <w:r>
        <w:t xml:space="preserve">The office shall monitor the GMS fee project set-up on a regular basis to ensure that </w:t>
      </w:r>
      <w:r w:rsidR="00DA224A">
        <w:t xml:space="preserve">the </w:t>
      </w:r>
      <w:r>
        <w:t>information is complete and accurate</w:t>
      </w:r>
      <w:r w:rsidR="00DA224A">
        <w:t>; to ensure income is being collected;</w:t>
      </w:r>
      <w:r>
        <w:t xml:space="preserve"> and </w:t>
      </w:r>
      <w:r w:rsidR="005956BF">
        <w:t xml:space="preserve">to </w:t>
      </w:r>
      <w:r>
        <w:t xml:space="preserve">guarantee </w:t>
      </w:r>
      <w:r w:rsidR="00C412AC">
        <w:t xml:space="preserve">it </w:t>
      </w:r>
      <w:r>
        <w:t>is re</w:t>
      </w:r>
      <w:r w:rsidR="00C412AC">
        <w:t>corded</w:t>
      </w:r>
      <w:r>
        <w:t xml:space="preserve"> as Extra</w:t>
      </w:r>
      <w:r w:rsidR="007D4720">
        <w:t>-</w:t>
      </w:r>
      <w:r>
        <w:t>bud</w:t>
      </w:r>
      <w:r w:rsidR="00517BB1">
        <w:t>getary income.</w:t>
      </w:r>
      <w:r>
        <w:t xml:space="preserve">.  </w:t>
      </w:r>
    </w:p>
    <w:p w14:paraId="3597C989" w14:textId="77777777" w:rsidR="00AD5AE1" w:rsidRDefault="008B1B87" w:rsidP="006704F3">
      <w:pPr>
        <w:spacing w:line="259" w:lineRule="auto"/>
        <w:ind w:left="0" w:firstLine="0"/>
        <w:jc w:val="left"/>
      </w:pPr>
      <w:r>
        <w:t xml:space="preserve">  </w:t>
      </w:r>
    </w:p>
    <w:p w14:paraId="3597C98B" w14:textId="1FD176B8" w:rsidR="00AD5AE1" w:rsidRDefault="008B1B87" w:rsidP="00E923EA">
      <w:pPr>
        <w:numPr>
          <w:ilvl w:val="0"/>
          <w:numId w:val="1"/>
        </w:numPr>
        <w:ind w:hanging="360"/>
      </w:pPr>
      <w:r>
        <w:t>The cost recovery income collection method shall remain the same throughout the duration of the project</w:t>
      </w:r>
    </w:p>
    <w:p w14:paraId="048A302D" w14:textId="77777777" w:rsidR="00FA450B" w:rsidRDefault="00FA450B" w:rsidP="006704F3">
      <w:pPr>
        <w:spacing w:line="259" w:lineRule="auto"/>
        <w:ind w:left="-5" w:hanging="10"/>
        <w:jc w:val="left"/>
        <w:rPr>
          <w:b/>
        </w:rPr>
      </w:pPr>
    </w:p>
    <w:p w14:paraId="3597C98C" w14:textId="647126E7" w:rsidR="00AD5AE1" w:rsidRDefault="008B1B87" w:rsidP="006704F3">
      <w:pPr>
        <w:spacing w:line="259" w:lineRule="auto"/>
        <w:ind w:left="-5" w:hanging="10"/>
        <w:jc w:val="left"/>
      </w:pPr>
      <w:r>
        <w:rPr>
          <w:b/>
        </w:rPr>
        <w:t xml:space="preserve">Budgeting for the GMS fee in </w:t>
      </w:r>
      <w:r w:rsidR="00902379">
        <w:rPr>
          <w:b/>
        </w:rPr>
        <w:t>Quantum</w:t>
      </w:r>
    </w:p>
    <w:p w14:paraId="3597C98D" w14:textId="77777777" w:rsidR="00AD5AE1" w:rsidRDefault="008B1B87" w:rsidP="006704F3">
      <w:pPr>
        <w:spacing w:line="259" w:lineRule="auto"/>
        <w:ind w:left="0" w:firstLine="0"/>
        <w:jc w:val="left"/>
      </w:pPr>
      <w:r>
        <w:t xml:space="preserve">  </w:t>
      </w:r>
    </w:p>
    <w:p w14:paraId="3597C98E" w14:textId="77777777" w:rsidR="00AD5AE1" w:rsidRDefault="008B1B87" w:rsidP="006704F3">
      <w:pPr>
        <w:numPr>
          <w:ilvl w:val="0"/>
          <w:numId w:val="1"/>
        </w:numPr>
        <w:ind w:hanging="360"/>
      </w:pPr>
      <w:r>
        <w:t xml:space="preserve">The full amount of the contribution shall be programmed as part of the project budget, including a separate budget line for the GMS fee component. </w:t>
      </w:r>
    </w:p>
    <w:p w14:paraId="3597C98F" w14:textId="77777777" w:rsidR="00AD5AE1" w:rsidRDefault="008B1B87" w:rsidP="006704F3">
      <w:pPr>
        <w:spacing w:line="259" w:lineRule="auto"/>
        <w:ind w:left="0" w:firstLine="0"/>
        <w:jc w:val="left"/>
      </w:pPr>
      <w:r>
        <w:t xml:space="preserve">  </w:t>
      </w:r>
    </w:p>
    <w:p w14:paraId="3597C990" w14:textId="0CE376B6" w:rsidR="00AD5AE1" w:rsidRDefault="008B1B87" w:rsidP="006704F3">
      <w:pPr>
        <w:numPr>
          <w:ilvl w:val="0"/>
          <w:numId w:val="1"/>
        </w:numPr>
        <w:ind w:hanging="360"/>
      </w:pPr>
      <w:r>
        <w:t>The cost recovery rate is charged on the programmable budget. For example, on a $1.0 million contribution, with an 8% GMS fee, the programmable budget is $0.926 million and the GMS budget is $0.074 million. Use</w:t>
      </w:r>
      <w:r w:rsidRPr="006704F3">
        <w:rPr>
          <w:color w:val="0070C0"/>
        </w:rPr>
        <w:t xml:space="preserve"> </w:t>
      </w:r>
      <w:r w:rsidR="006704F3" w:rsidRPr="008F757D">
        <w:t xml:space="preserve">the </w:t>
      </w:r>
      <w:hyperlink r:id="rId17" w:history="1">
        <w:r w:rsidR="008F757D" w:rsidRPr="008F757D">
          <w:rPr>
            <w:rStyle w:val="Hyperlink"/>
          </w:rPr>
          <w:t>GMS rate calculator</w:t>
        </w:r>
      </w:hyperlink>
      <w:r w:rsidR="003B2698">
        <w:rPr>
          <w:rStyle w:val="FootnoteReference"/>
          <w:color w:val="0000FF" w:themeColor="hyperlink"/>
          <w:u w:val="single"/>
        </w:rPr>
        <w:footnoteReference w:id="1"/>
      </w:r>
      <w:r w:rsidR="00D22A8C">
        <w:t xml:space="preserve"> </w:t>
      </w:r>
      <w:r w:rsidR="006704F3" w:rsidRPr="006704F3">
        <w:t>to</w:t>
      </w:r>
      <w:r w:rsidR="006704F3">
        <w:t xml:space="preserve"> </w:t>
      </w:r>
      <w:r>
        <w:t>determine amounts</w:t>
      </w:r>
      <w:r w:rsidR="00836857">
        <w:t xml:space="preserve"> for project programmable budget and GMS budget</w:t>
      </w:r>
      <w:r>
        <w:t>.</w:t>
      </w:r>
      <w:r w:rsidR="00836857">
        <w:t xml:space="preserve"> </w:t>
      </w:r>
      <w:r w:rsidR="006F74E4">
        <w:t xml:space="preserve">[Note: </w:t>
      </w:r>
      <w:r w:rsidR="00836857">
        <w:t>GEF and MP project</w:t>
      </w:r>
      <w:r w:rsidR="006F74E4">
        <w:t xml:space="preserve"> budgets do not include the GMS b</w:t>
      </w:r>
      <w:r w:rsidR="00836857">
        <w:t>udget,</w:t>
      </w:r>
      <w:r w:rsidR="006F74E4">
        <w:t xml:space="preserve"> it only includes the programmable budget.  The GMS budget is maintained by GEF and MP units at HQ.]</w:t>
      </w:r>
      <w:r>
        <w:t xml:space="preserve"> </w:t>
      </w:r>
    </w:p>
    <w:p w14:paraId="3597C991" w14:textId="77777777" w:rsidR="00AD5AE1" w:rsidRDefault="008B1B87" w:rsidP="006704F3">
      <w:pPr>
        <w:spacing w:line="259" w:lineRule="auto"/>
        <w:ind w:left="0" w:firstLine="0"/>
        <w:jc w:val="left"/>
      </w:pPr>
      <w:r>
        <w:t xml:space="preserve">  </w:t>
      </w:r>
    </w:p>
    <w:p w14:paraId="3597C992" w14:textId="7CEADCB0" w:rsidR="00AD5AE1" w:rsidRDefault="008B1B87" w:rsidP="006704F3">
      <w:pPr>
        <w:numPr>
          <w:ilvl w:val="0"/>
          <w:numId w:val="1"/>
        </w:numPr>
        <w:ind w:hanging="360"/>
      </w:pPr>
      <w:r>
        <w:t xml:space="preserve">The budgeting of the GMS fee component in the project budget ensures that internal </w:t>
      </w:r>
      <w:r w:rsidR="004D1270">
        <w:t xml:space="preserve"> Quantum </w:t>
      </w:r>
      <w:r>
        <w:t>system processes can be run on a regular basis and ‘earn-as-you go’</w:t>
      </w:r>
      <w:r w:rsidR="00591410">
        <w:t xml:space="preserve"> on actual expenses</w:t>
      </w:r>
      <w:r w:rsidR="002475E3">
        <w:t>, e</w:t>
      </w:r>
      <w:r>
        <w:t>xtra</w:t>
      </w:r>
      <w:r w:rsidR="008C0464">
        <w:t>-</w:t>
      </w:r>
      <w:r>
        <w:lastRenderedPageBreak/>
        <w:t xml:space="preserve">budgetary income earned is collected in a timely manner. Failure to reflect the GMS fee at project budget set up and the GMS fee component in the project budget shall only delay this process.   </w:t>
      </w:r>
    </w:p>
    <w:p w14:paraId="3597C993" w14:textId="77777777" w:rsidR="00AD5AE1" w:rsidRDefault="008B1B87" w:rsidP="006704F3">
      <w:pPr>
        <w:spacing w:line="259" w:lineRule="auto"/>
        <w:ind w:left="0" w:firstLine="0"/>
        <w:jc w:val="left"/>
      </w:pPr>
      <w:r>
        <w:t xml:space="preserve">  </w:t>
      </w:r>
    </w:p>
    <w:p w14:paraId="3597C994" w14:textId="1A1F40F9" w:rsidR="00AD5AE1" w:rsidRDefault="008B1B87" w:rsidP="006704F3">
      <w:pPr>
        <w:numPr>
          <w:ilvl w:val="0"/>
          <w:numId w:val="1"/>
        </w:numPr>
        <w:ind w:hanging="360"/>
      </w:pPr>
      <w:r>
        <w:t xml:space="preserve">In the project budget the GMS fee shall always be reflected with the budget account 75100.  A separate GMS budget line per each activity, fund and donor COA combination shall be set up.  </w:t>
      </w:r>
    </w:p>
    <w:p w14:paraId="3597C995" w14:textId="77777777" w:rsidR="00AD5AE1" w:rsidRDefault="008B1B87" w:rsidP="006704F3">
      <w:pPr>
        <w:spacing w:line="259" w:lineRule="auto"/>
        <w:ind w:left="0" w:firstLine="0"/>
        <w:jc w:val="left"/>
      </w:pPr>
      <w:r>
        <w:t xml:space="preserve">  </w:t>
      </w:r>
    </w:p>
    <w:p w14:paraId="3597C996" w14:textId="724082EE" w:rsidR="00AD5AE1" w:rsidRDefault="008B1B87" w:rsidP="006704F3">
      <w:pPr>
        <w:numPr>
          <w:ilvl w:val="0"/>
          <w:numId w:val="1"/>
        </w:numPr>
        <w:ind w:hanging="360"/>
      </w:pPr>
      <w:r>
        <w:t xml:space="preserve">GMS expense account code in </w:t>
      </w:r>
      <w:r w:rsidR="00902379">
        <w:t>Quantum</w:t>
      </w:r>
      <w:r>
        <w:t xml:space="preserve"> for ‘earn as you go’ is 75105 This account is automatically used by the </w:t>
      </w:r>
      <w:r w:rsidR="00902379">
        <w:t>Quantum</w:t>
      </w:r>
      <w:r>
        <w:t xml:space="preserve"> </w:t>
      </w:r>
      <w:r w:rsidR="00A6283B">
        <w:t xml:space="preserve">burden schedule </w:t>
      </w:r>
      <w:r>
        <w:t xml:space="preserve">batch process.  </w:t>
      </w:r>
    </w:p>
    <w:p w14:paraId="3597C997" w14:textId="77777777" w:rsidR="00AD5AE1" w:rsidRDefault="008B1B87" w:rsidP="006704F3">
      <w:pPr>
        <w:spacing w:line="259" w:lineRule="auto"/>
        <w:ind w:left="0" w:firstLine="0"/>
        <w:jc w:val="left"/>
      </w:pPr>
      <w:r>
        <w:t xml:space="preserve">  </w:t>
      </w:r>
    </w:p>
    <w:p w14:paraId="3597C998" w14:textId="2FEBC92B" w:rsidR="00AD5AE1" w:rsidRDefault="008B1B87" w:rsidP="006704F3">
      <w:pPr>
        <w:spacing w:line="259" w:lineRule="auto"/>
        <w:ind w:left="-5" w:hanging="10"/>
        <w:jc w:val="left"/>
      </w:pPr>
      <w:r>
        <w:rPr>
          <w:b/>
        </w:rPr>
        <w:t xml:space="preserve">Setting up the GMS fee in </w:t>
      </w:r>
      <w:r w:rsidR="00902379">
        <w:rPr>
          <w:b/>
        </w:rPr>
        <w:t>Quantum</w:t>
      </w:r>
      <w:r>
        <w:rPr>
          <w:b/>
        </w:rPr>
        <w:t xml:space="preserve"> </w:t>
      </w:r>
      <w:r>
        <w:t xml:space="preserve"> </w:t>
      </w:r>
    </w:p>
    <w:p w14:paraId="3597C999" w14:textId="77777777" w:rsidR="006704F3" w:rsidRDefault="006704F3" w:rsidP="006704F3">
      <w:pPr>
        <w:spacing w:line="259" w:lineRule="auto"/>
        <w:ind w:left="-5" w:hanging="10"/>
        <w:jc w:val="left"/>
      </w:pPr>
    </w:p>
    <w:p w14:paraId="3597C99A" w14:textId="5E8ACD2E" w:rsidR="00AD5AE1" w:rsidRDefault="008B1B87" w:rsidP="006704F3">
      <w:pPr>
        <w:numPr>
          <w:ilvl w:val="0"/>
          <w:numId w:val="1"/>
        </w:numPr>
        <w:ind w:hanging="360"/>
      </w:pPr>
      <w:r>
        <w:t xml:space="preserve">The GMS fee is entered in the </w:t>
      </w:r>
      <w:r w:rsidR="00902379">
        <w:t>Quantum</w:t>
      </w:r>
      <w:r>
        <w:t xml:space="preserve"> </w:t>
      </w:r>
      <w:r w:rsidR="001B543D">
        <w:t xml:space="preserve">Grants </w:t>
      </w:r>
      <w:r>
        <w:t xml:space="preserve">Module. The navigation in </w:t>
      </w:r>
      <w:r w:rsidR="00902379">
        <w:t>Quantum</w:t>
      </w:r>
      <w:r>
        <w:t xml:space="preserve"> is Grants</w:t>
      </w:r>
      <w:r w:rsidR="00396D07">
        <w:t xml:space="preserve"> Management</w:t>
      </w:r>
      <w:r>
        <w:t xml:space="preserve">/ </w:t>
      </w:r>
      <w:r w:rsidR="001B6BA4">
        <w:t xml:space="preserve"> Edit Award Details</w:t>
      </w:r>
      <w:r>
        <w:t>/</w:t>
      </w:r>
      <w:r w:rsidR="001B6BA4">
        <w:t>Financial Tab</w:t>
      </w:r>
      <w:r>
        <w:t xml:space="preserve">.  </w:t>
      </w:r>
    </w:p>
    <w:p w14:paraId="41B42FC1" w14:textId="3A2292B2" w:rsidR="0069768A" w:rsidRDefault="003B01B6" w:rsidP="00161E49">
      <w:pPr>
        <w:ind w:left="705" w:firstLine="0"/>
      </w:pPr>
      <w:r>
        <w:rPr>
          <w:noProof/>
        </w:rPr>
        <w:drawing>
          <wp:inline distT="0" distB="0" distL="0" distR="0" wp14:anchorId="256748AD" wp14:editId="6AD6E84B">
            <wp:extent cx="3109453" cy="2105025"/>
            <wp:effectExtent l="19050" t="19050" r="152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8247" cy="2110979"/>
                    </a:xfrm>
                    <a:prstGeom prst="rect">
                      <a:avLst/>
                    </a:prstGeom>
                    <a:noFill/>
                    <a:ln>
                      <a:solidFill>
                        <a:schemeClr val="tx1"/>
                      </a:solidFill>
                    </a:ln>
                  </pic:spPr>
                </pic:pic>
              </a:graphicData>
            </a:graphic>
          </wp:inline>
        </w:drawing>
      </w:r>
    </w:p>
    <w:p w14:paraId="3597C99B" w14:textId="77777777" w:rsidR="00AD5AE1" w:rsidRDefault="008B1B87" w:rsidP="006704F3">
      <w:pPr>
        <w:spacing w:line="259" w:lineRule="auto"/>
        <w:ind w:left="720" w:firstLine="0"/>
        <w:jc w:val="left"/>
      </w:pPr>
      <w:r>
        <w:t xml:space="preserve"> </w:t>
      </w:r>
    </w:p>
    <w:p w14:paraId="3597C99C" w14:textId="77777777" w:rsidR="00AD5AE1" w:rsidRDefault="008B1B87" w:rsidP="006704F3">
      <w:pPr>
        <w:numPr>
          <w:ilvl w:val="0"/>
          <w:numId w:val="1"/>
        </w:numPr>
        <w:ind w:hanging="360"/>
      </w:pPr>
      <w:r>
        <w:t xml:space="preserve">The GMS fee shall be entered only for GMS collection method, ‘earn as you go’.  </w:t>
      </w:r>
    </w:p>
    <w:p w14:paraId="3597C99D" w14:textId="77777777" w:rsidR="00AD5AE1" w:rsidRDefault="008B1B87" w:rsidP="006704F3">
      <w:pPr>
        <w:spacing w:line="259" w:lineRule="auto"/>
        <w:ind w:left="0" w:firstLine="0"/>
        <w:jc w:val="left"/>
      </w:pPr>
      <w:r>
        <w:t xml:space="preserve">  </w:t>
      </w:r>
    </w:p>
    <w:p w14:paraId="3597C99E" w14:textId="1039D1C9" w:rsidR="00AD5AE1" w:rsidRDefault="008B1B87" w:rsidP="006704F3">
      <w:pPr>
        <w:numPr>
          <w:ilvl w:val="0"/>
          <w:numId w:val="1"/>
        </w:numPr>
        <w:ind w:hanging="360"/>
      </w:pPr>
      <w:r>
        <w:t xml:space="preserve">The GMS fee is entered at the </w:t>
      </w:r>
      <w:r w:rsidR="00BB709E">
        <w:t>award</w:t>
      </w:r>
      <w:r>
        <w:t xml:space="preserve">-fund-donor level. </w:t>
      </w:r>
      <w:r w:rsidR="00BB709E">
        <w:t>Each award is linked to a specific project.</w:t>
      </w:r>
    </w:p>
    <w:p w14:paraId="3597C99F" w14:textId="77777777" w:rsidR="00AD5AE1" w:rsidRDefault="008B1B87" w:rsidP="006704F3">
      <w:pPr>
        <w:spacing w:line="259" w:lineRule="auto"/>
        <w:ind w:left="0" w:firstLine="0"/>
        <w:jc w:val="left"/>
      </w:pPr>
      <w:r>
        <w:t xml:space="preserve">  </w:t>
      </w:r>
    </w:p>
    <w:p w14:paraId="3AB3624B" w14:textId="219DD0CE" w:rsidR="00AD343B" w:rsidRDefault="008B1B87" w:rsidP="006704F3">
      <w:pPr>
        <w:numPr>
          <w:ilvl w:val="0"/>
          <w:numId w:val="1"/>
        </w:numPr>
        <w:ind w:hanging="360"/>
      </w:pPr>
      <w:r>
        <w:t xml:space="preserve">The GMS fee calculation is integrated into </w:t>
      </w:r>
      <w:r w:rsidR="00902379">
        <w:t>Quantum</w:t>
      </w:r>
      <w:r>
        <w:t xml:space="preserve"> for maximum automation and minimal data entry. </w:t>
      </w:r>
      <w:r w:rsidR="00D74EE1">
        <w:t>Country office</w:t>
      </w:r>
      <w:r w:rsidR="008E320B">
        <w:t>s</w:t>
      </w:r>
      <w:r w:rsidR="00BC125D">
        <w:t xml:space="preserve"> should create a UNALL case with GSSC </w:t>
      </w:r>
      <w:r w:rsidR="008E320B">
        <w:t xml:space="preserve">after award creation to activate their contract and also </w:t>
      </w:r>
      <w:r w:rsidR="00CD668D">
        <w:t xml:space="preserve">indicate Distribution Modality type to </w:t>
      </w:r>
      <w:r w:rsidR="008E320B">
        <w:t>complete setup of GMS</w:t>
      </w:r>
      <w:r w:rsidR="00634DA7">
        <w:t xml:space="preserve">.  Upon selection of </w:t>
      </w:r>
      <w:r>
        <w:t>GMS distribution modality</w:t>
      </w:r>
      <w:r w:rsidR="00CD668D">
        <w:t xml:space="preserve"> by </w:t>
      </w:r>
      <w:proofErr w:type="spellStart"/>
      <w:r w:rsidR="00CD668D">
        <w:t>GSSC</w:t>
      </w:r>
      <w:r w:rsidR="00634DA7">
        <w:t>,</w:t>
      </w:r>
      <w:r>
        <w:t>department</w:t>
      </w:r>
      <w:proofErr w:type="spellEnd"/>
      <w:r>
        <w:t xml:space="preserve"> percentages are automatically populated</w:t>
      </w:r>
      <w:r w:rsidR="00CD668D">
        <w:t xml:space="preserve"> for income distribution</w:t>
      </w:r>
      <w:r w:rsidR="00634DA7">
        <w:t>.</w:t>
      </w:r>
      <w:r>
        <w:t xml:space="preserve"> </w:t>
      </w:r>
    </w:p>
    <w:p w14:paraId="26C91491" w14:textId="77777777" w:rsidR="00AD343B" w:rsidRDefault="00AD343B" w:rsidP="00E923EA">
      <w:pPr>
        <w:pStyle w:val="ListParagraph"/>
      </w:pPr>
    </w:p>
    <w:p w14:paraId="3597C9A0" w14:textId="3E6034D2" w:rsidR="00AD5AE1" w:rsidRDefault="00082179" w:rsidP="006704F3">
      <w:pPr>
        <w:numPr>
          <w:ilvl w:val="0"/>
          <w:numId w:val="1"/>
        </w:numPr>
        <w:ind w:hanging="360"/>
      </w:pPr>
      <w:r>
        <w:t xml:space="preserve">Except for </w:t>
      </w:r>
      <w:r w:rsidR="00FB3EE0">
        <w:t>Vertical Funds (</w:t>
      </w:r>
      <w:r w:rsidR="005C6AA0">
        <w:t xml:space="preserve"> Global Fund</w:t>
      </w:r>
      <w:r w:rsidR="00FB3EE0">
        <w:t>, GEF, G</w:t>
      </w:r>
      <w:r w:rsidR="00EA0EB1">
        <w:t xml:space="preserve">reen </w:t>
      </w:r>
      <w:r w:rsidR="00FB3EE0">
        <w:t>C</w:t>
      </w:r>
      <w:r w:rsidR="0074255D">
        <w:t xml:space="preserve">limate </w:t>
      </w:r>
      <w:r w:rsidR="00FB3EE0">
        <w:t>F</w:t>
      </w:r>
      <w:r w:rsidR="0074255D">
        <w:t>und (GCF)</w:t>
      </w:r>
      <w:r w:rsidR="00FB3EE0">
        <w:t xml:space="preserve"> and Montreal Protocol</w:t>
      </w:r>
      <w:r w:rsidR="0074255D">
        <w:t xml:space="preserve"> (MP</w:t>
      </w:r>
      <w:r w:rsidR="00FB3EE0">
        <w:t>)</w:t>
      </w:r>
      <w:r w:rsidR="0074255D">
        <w:t>), GMS income will no longer be distributed across internal units of UNDP starting from 2017.</w:t>
      </w:r>
      <w:r w:rsidR="003D0038">
        <w:t xml:space="preserve"> GMS from Vertical Funds </w:t>
      </w:r>
      <w:r w:rsidR="00892F86">
        <w:t xml:space="preserve">will continue to be distributed internally based on the pre-2017 management decision. </w:t>
      </w:r>
    </w:p>
    <w:p w14:paraId="3597C9A1" w14:textId="77777777" w:rsidR="00AD5AE1" w:rsidRDefault="008B1B87" w:rsidP="006704F3">
      <w:pPr>
        <w:spacing w:line="259" w:lineRule="auto"/>
        <w:ind w:left="0" w:firstLine="0"/>
        <w:jc w:val="left"/>
      </w:pPr>
      <w:r>
        <w:t xml:space="preserve">  </w:t>
      </w:r>
    </w:p>
    <w:p w14:paraId="3F8DE694" w14:textId="721AFEA5" w:rsidR="00AD343B" w:rsidRDefault="003D0038">
      <w:pPr>
        <w:numPr>
          <w:ilvl w:val="0"/>
          <w:numId w:val="1"/>
        </w:numPr>
        <w:ind w:hanging="360"/>
      </w:pPr>
      <w:r>
        <w:t xml:space="preserve">GMS fee rates </w:t>
      </w:r>
      <w:r w:rsidR="00547C8C">
        <w:t xml:space="preserve">for </w:t>
      </w:r>
      <w:r>
        <w:t>GEF, G</w:t>
      </w:r>
      <w:r w:rsidR="002C1517">
        <w:t xml:space="preserve">reen </w:t>
      </w:r>
      <w:r>
        <w:t>Climate Fund (GCF) and Montreal Protocol (MP)</w:t>
      </w:r>
      <w:r w:rsidR="00CC14D6">
        <w:t xml:space="preserve"> </w:t>
      </w:r>
      <w:r w:rsidR="00587344">
        <w:t xml:space="preserve">are entered in the same Award page but </w:t>
      </w:r>
      <w:r w:rsidR="00A60040">
        <w:t xml:space="preserve">do not follow the same delivered Burden Schedule process </w:t>
      </w:r>
      <w:r w:rsidR="00CC14D6">
        <w:t xml:space="preserve">in </w:t>
      </w:r>
      <w:r w:rsidR="00902379">
        <w:t>Quantum</w:t>
      </w:r>
      <w:r w:rsidR="00CC14D6">
        <w:t xml:space="preserve">. </w:t>
      </w:r>
      <w:r w:rsidR="00EB23FD">
        <w:t xml:space="preserve"> </w:t>
      </w:r>
      <w:r w:rsidR="001A0986">
        <w:t xml:space="preserve">The offices can obtain the </w:t>
      </w:r>
      <w:r w:rsidR="00EB23FD">
        <w:t>GMS rates and distribution</w:t>
      </w:r>
      <w:r w:rsidR="001A0986">
        <w:t>s</w:t>
      </w:r>
      <w:r w:rsidR="00EB23FD">
        <w:t xml:space="preserve"> of GEF and MP projects </w:t>
      </w:r>
      <w:r w:rsidR="000A6FED">
        <w:t xml:space="preserve">using </w:t>
      </w:r>
      <w:r w:rsidR="00BF65A4">
        <w:t xml:space="preserve">the same </w:t>
      </w:r>
      <w:r w:rsidR="00902379">
        <w:t>Quantum</w:t>
      </w:r>
      <w:r w:rsidR="000A6FED">
        <w:t xml:space="preserve"> query </w:t>
      </w:r>
      <w:r w:rsidR="00BF65A4">
        <w:t xml:space="preserve">for UNDP offices. </w:t>
      </w:r>
      <w:r w:rsidR="000A6FED">
        <w:t>.</w:t>
      </w:r>
    </w:p>
    <w:p w14:paraId="6CE60C16" w14:textId="77777777" w:rsidR="00CC14D6" w:rsidRDefault="00CC14D6" w:rsidP="00E923EA">
      <w:pPr>
        <w:pStyle w:val="ListParagraph"/>
      </w:pPr>
    </w:p>
    <w:p w14:paraId="3597C9A2" w14:textId="10A7ECAA" w:rsidR="00AD5AE1" w:rsidRDefault="00745B93" w:rsidP="006704F3">
      <w:pPr>
        <w:numPr>
          <w:ilvl w:val="0"/>
          <w:numId w:val="1"/>
        </w:numPr>
        <w:ind w:hanging="360"/>
      </w:pPr>
      <w:r>
        <w:t>T</w:t>
      </w:r>
      <w:r w:rsidR="008B1B87">
        <w:t xml:space="preserve">he accountability </w:t>
      </w:r>
      <w:r w:rsidR="00A20EDF">
        <w:t>for</w:t>
      </w:r>
      <w:r w:rsidR="008B1B87">
        <w:t xml:space="preserve"> ensuring that the </w:t>
      </w:r>
      <w:r w:rsidR="00BC372B">
        <w:t xml:space="preserve">GMS rate is </w:t>
      </w:r>
      <w:r w:rsidR="008B1B87">
        <w:t xml:space="preserve">correctly </w:t>
      </w:r>
      <w:r w:rsidR="00BC372B">
        <w:t xml:space="preserve">entered in timely manner </w:t>
      </w:r>
      <w:r>
        <w:t xml:space="preserve">in </w:t>
      </w:r>
      <w:r w:rsidR="00902379">
        <w:t>Quantum</w:t>
      </w:r>
      <w:r>
        <w:t xml:space="preserve"> </w:t>
      </w:r>
      <w:r w:rsidR="00C03F20">
        <w:t xml:space="preserve">Award </w:t>
      </w:r>
      <w:r w:rsidR="00E53BDC">
        <w:t xml:space="preserve">under </w:t>
      </w:r>
      <w:r>
        <w:t>Grants</w:t>
      </w:r>
      <w:r w:rsidR="005345E4">
        <w:t xml:space="preserve"> Management</w:t>
      </w:r>
      <w:r>
        <w:t xml:space="preserve"> Module to ensure collection of GMS </w:t>
      </w:r>
      <w:r w:rsidR="008B1B87">
        <w:t xml:space="preserve">income rests with the </w:t>
      </w:r>
      <w:r w:rsidR="00907825">
        <w:t xml:space="preserve">project </w:t>
      </w:r>
      <w:r w:rsidR="008B1B87">
        <w:t xml:space="preserve">managing office.  </w:t>
      </w:r>
    </w:p>
    <w:p w14:paraId="3597C9A3" w14:textId="77777777" w:rsidR="00AD5AE1" w:rsidRDefault="008B1B87" w:rsidP="006704F3">
      <w:pPr>
        <w:spacing w:line="259" w:lineRule="auto"/>
        <w:ind w:left="0" w:firstLine="0"/>
        <w:jc w:val="left"/>
      </w:pPr>
      <w:r>
        <w:lastRenderedPageBreak/>
        <w:t xml:space="preserve">  </w:t>
      </w:r>
    </w:p>
    <w:p w14:paraId="3597C9A4" w14:textId="04B481C5" w:rsidR="00AD5AE1" w:rsidRDefault="008B1B87" w:rsidP="006704F3">
      <w:pPr>
        <w:numPr>
          <w:ilvl w:val="0"/>
          <w:numId w:val="1"/>
        </w:numPr>
        <w:ind w:hanging="360"/>
      </w:pPr>
      <w:r>
        <w:t>A project shall charge the same cost recovery rate for all donors, however</w:t>
      </w:r>
      <w:r w:rsidR="00907825">
        <w:t>,</w:t>
      </w:r>
      <w:r>
        <w:t xml:space="preserve"> there are instances where the rates are different and within the cost recovery policy, such as when a project has a combination of programme country</w:t>
      </w:r>
      <w:r w:rsidR="00907825">
        <w:t xml:space="preserve"> (government)</w:t>
      </w:r>
      <w:r>
        <w:t xml:space="preserve"> cost sharing (GMS fee is a minimum of 3%) and third party costing sharing </w:t>
      </w:r>
      <w:r w:rsidR="002D0D82">
        <w:t>contributions</w:t>
      </w:r>
      <w:r>
        <w:t xml:space="preserve"> (GMS fee is a minimum of 8%)</w:t>
      </w:r>
      <w:r w:rsidR="000E3D17">
        <w:t>.</w:t>
      </w:r>
      <w:r>
        <w:t xml:space="preserve">  </w:t>
      </w:r>
    </w:p>
    <w:p w14:paraId="3597C9A5" w14:textId="77777777" w:rsidR="00AD5AE1" w:rsidRDefault="008B1B87" w:rsidP="006704F3">
      <w:pPr>
        <w:spacing w:line="259" w:lineRule="auto"/>
        <w:ind w:left="0" w:firstLine="0"/>
        <w:jc w:val="left"/>
      </w:pPr>
      <w:r>
        <w:t xml:space="preserve">  </w:t>
      </w:r>
    </w:p>
    <w:p w14:paraId="3597C9A6" w14:textId="4BB26A2B" w:rsidR="00AD5AE1" w:rsidRDefault="008B1B87" w:rsidP="006704F3">
      <w:pPr>
        <w:numPr>
          <w:ilvl w:val="0"/>
          <w:numId w:val="1"/>
        </w:numPr>
        <w:ind w:hanging="360"/>
      </w:pPr>
      <w:r>
        <w:t xml:space="preserve">For UNDSS (Fund Code 68100) and UNDOCO Common Coordination Fund (Fund Code 680xx), the administrative support fee covers both implementation </w:t>
      </w:r>
      <w:r w:rsidR="00082179">
        <w:t xml:space="preserve">support </w:t>
      </w:r>
      <w:r>
        <w:t>and GMS</w:t>
      </w:r>
      <w:r w:rsidR="00082179">
        <w:t xml:space="preserve"> fee</w:t>
      </w:r>
      <w:r w:rsidR="00373507">
        <w:t xml:space="preserve"> and </w:t>
      </w:r>
      <w:r w:rsidR="000E61D0">
        <w:t xml:space="preserve">is </w:t>
      </w:r>
      <w:r w:rsidR="00373507">
        <w:t>managed separately by HQ units in BMS and DOCO</w:t>
      </w:r>
      <w:r>
        <w:t xml:space="preserve">. </w:t>
      </w:r>
    </w:p>
    <w:p w14:paraId="3597C9A7" w14:textId="77777777" w:rsidR="00AD5AE1" w:rsidRDefault="008B1B87" w:rsidP="006704F3">
      <w:pPr>
        <w:spacing w:line="259" w:lineRule="auto"/>
        <w:ind w:left="0" w:firstLine="0"/>
        <w:jc w:val="left"/>
      </w:pPr>
      <w:r>
        <w:t xml:space="preserve"> </w:t>
      </w:r>
    </w:p>
    <w:p w14:paraId="3597C9A9" w14:textId="14596E37" w:rsidR="00AD5AE1" w:rsidRDefault="00AD5AE1" w:rsidP="006704F3">
      <w:pPr>
        <w:spacing w:line="259" w:lineRule="auto"/>
        <w:ind w:left="0" w:firstLine="0"/>
        <w:jc w:val="left"/>
      </w:pPr>
    </w:p>
    <w:sectPr w:rsidR="00AD5AE1">
      <w:headerReference w:type="default" r:id="rId19"/>
      <w:footerReference w:type="default" r:id="rId20"/>
      <w:pgSz w:w="11906" w:h="16838"/>
      <w:pgMar w:top="1176" w:right="844" w:bottom="709"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4AA9F" w14:textId="77777777" w:rsidR="00CB1212" w:rsidRDefault="00CB1212" w:rsidP="006704F3">
      <w:pPr>
        <w:spacing w:line="240" w:lineRule="auto"/>
      </w:pPr>
      <w:r>
        <w:separator/>
      </w:r>
    </w:p>
  </w:endnote>
  <w:endnote w:type="continuationSeparator" w:id="0">
    <w:p w14:paraId="7AFAB4F0" w14:textId="77777777" w:rsidR="00CB1212" w:rsidRDefault="00CB1212" w:rsidP="00670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7C9AF" w14:textId="4E6CBB97" w:rsidR="006704F3" w:rsidRDefault="004D6EED">
    <w:pPr>
      <w:pStyle w:val="Footer"/>
    </w:pPr>
    <w:r>
      <w:t xml:space="preserve">Page </w:t>
    </w:r>
    <w:r>
      <w:rPr>
        <w:b/>
        <w:bCs/>
      </w:rPr>
      <w:fldChar w:fldCharType="begin"/>
    </w:r>
    <w:r>
      <w:rPr>
        <w:b/>
        <w:bCs/>
      </w:rPr>
      <w:instrText xml:space="preserve"> PAGE  \* Arabic  \* MERGEFORMAT </w:instrText>
    </w:r>
    <w:r>
      <w:rPr>
        <w:b/>
        <w:bCs/>
      </w:rPr>
      <w:fldChar w:fldCharType="separate"/>
    </w:r>
    <w:r w:rsidR="00D876D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876DE">
      <w:rPr>
        <w:b/>
        <w:bCs/>
        <w:noProof/>
      </w:rPr>
      <w:t>1</w:t>
    </w:r>
    <w:r>
      <w:rPr>
        <w:b/>
        <w:bCs/>
      </w:rPr>
      <w:fldChar w:fldCharType="end"/>
    </w:r>
    <w:r>
      <w:ptab w:relativeTo="margin" w:alignment="center" w:leader="none"/>
    </w:r>
    <w:r>
      <w:t>Effective Date:</w:t>
    </w:r>
    <w:r w:rsidR="002C6D8B">
      <w:t xml:space="preserve"> </w:t>
    </w:r>
    <w:r w:rsidR="00161E49">
      <w:t>29</w:t>
    </w:r>
    <w:r w:rsidR="002C6D8B">
      <w:t>/</w:t>
    </w:r>
    <w:r w:rsidR="00161E49">
      <w:t>11</w:t>
    </w:r>
    <w:r w:rsidR="00001BAC">
      <w:t>/</w:t>
    </w:r>
    <w:r w:rsidR="00161E49">
      <w:t>2022</w:t>
    </w:r>
    <w:r w:rsidR="00161E49">
      <w:ptab w:relativeTo="margin" w:alignment="right" w:leader="none"/>
    </w:r>
    <w:r w:rsidR="00161E49">
      <w:t xml:space="preserve">Version </w:t>
    </w:r>
    <w:r w:rsidR="00001BAC">
      <w:t>#:</w:t>
    </w:r>
    <w:sdt>
      <w:sdtPr>
        <w:alias w:val="POPPRefItemVersion"/>
        <w:tag w:val="UNDP_POPP_REFITEM_VERSION"/>
        <w:id w:val="-1477911541"/>
        <w:placeholder>
          <w:docPart w:val="A5E0F6239F0B41DBBB3BD770598D6EB8"/>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C9628490-3305-425C-9C5C-71B0D682170D}"/>
        <w:text/>
      </w:sdtPr>
      <w:sdtContent>
        <w:r w:rsidR="003B2698">
          <w:t>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A0BC7" w14:textId="77777777" w:rsidR="00CB1212" w:rsidRDefault="00CB1212" w:rsidP="006704F3">
      <w:pPr>
        <w:spacing w:line="240" w:lineRule="auto"/>
      </w:pPr>
      <w:r>
        <w:separator/>
      </w:r>
    </w:p>
  </w:footnote>
  <w:footnote w:type="continuationSeparator" w:id="0">
    <w:p w14:paraId="50CCC5B7" w14:textId="77777777" w:rsidR="00CB1212" w:rsidRDefault="00CB1212" w:rsidP="006704F3">
      <w:pPr>
        <w:spacing w:line="240" w:lineRule="auto"/>
      </w:pPr>
      <w:r>
        <w:continuationSeparator/>
      </w:r>
    </w:p>
  </w:footnote>
  <w:footnote w:id="1">
    <w:p w14:paraId="0D4DDB45" w14:textId="6CECBD2A" w:rsidR="003B2698" w:rsidRPr="003B2698" w:rsidRDefault="003B2698">
      <w:pPr>
        <w:pStyle w:val="FootnoteText"/>
        <w:rPr>
          <w:lang w:val="en-GB"/>
        </w:rPr>
      </w:pPr>
      <w:r>
        <w:rPr>
          <w:rStyle w:val="FootnoteReference"/>
        </w:rPr>
        <w:footnoteRef/>
      </w:r>
      <w:r>
        <w:t xml:space="preserve"> </w:t>
      </w:r>
      <w:r>
        <w:rPr>
          <w:lang w:val="en-GB"/>
        </w:rPr>
        <w:t xml:space="preserve">If you experience problems trying to open the GMS rate calculator, </w:t>
      </w:r>
      <w:hyperlink r:id="rId1" w:history="1">
        <w:r w:rsidRPr="003B2698">
          <w:rPr>
            <w:rStyle w:val="Hyperlink"/>
            <w:lang w:val="en-GB"/>
          </w:rPr>
          <w:t>please follow this guide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03467" w14:textId="1243DF0D" w:rsidR="004D6EED" w:rsidRDefault="004D6EED" w:rsidP="004D6EED">
    <w:pPr>
      <w:pStyle w:val="Header"/>
      <w:spacing w:before="100" w:beforeAutospacing="1" w:after="100" w:afterAutospacing="1"/>
      <w:ind w:left="9730" w:right="43"/>
    </w:pPr>
    <w:r w:rsidRPr="004D6EED">
      <w:rPr>
        <w:noProof/>
        <w:color w:val="333333"/>
      </w:rPr>
      <w:drawing>
        <wp:inline distT="0" distB="0" distL="0" distR="0" wp14:anchorId="50D0A4B4" wp14:editId="20084307">
          <wp:extent cx="304745" cy="6019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4363"/>
                  <a:stretch/>
                </pic:blipFill>
                <pic:spPr bwMode="auto">
                  <a:xfrm>
                    <a:off x="0" y="0"/>
                    <a:ext cx="304800" cy="6020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37165"/>
    <w:multiLevelType w:val="hybridMultilevel"/>
    <w:tmpl w:val="1E26E1FE"/>
    <w:lvl w:ilvl="0" w:tplc="55DC3356">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F52099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52CA77B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2D26562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54A0067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4B8727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EA6D59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F2A6AE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1BEECC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2140760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E1"/>
    <w:rsid w:val="00001BAC"/>
    <w:rsid w:val="000149BF"/>
    <w:rsid w:val="00035EFD"/>
    <w:rsid w:val="0004467A"/>
    <w:rsid w:val="00082179"/>
    <w:rsid w:val="00096E83"/>
    <w:rsid w:val="000A6FED"/>
    <w:rsid w:val="000D434A"/>
    <w:rsid w:val="000E3D17"/>
    <w:rsid w:val="000E61D0"/>
    <w:rsid w:val="000F2CD5"/>
    <w:rsid w:val="001117AA"/>
    <w:rsid w:val="00126B7F"/>
    <w:rsid w:val="00161E49"/>
    <w:rsid w:val="00187E1A"/>
    <w:rsid w:val="001A0986"/>
    <w:rsid w:val="001A2D8B"/>
    <w:rsid w:val="001B543D"/>
    <w:rsid w:val="001B6BA4"/>
    <w:rsid w:val="001C36C3"/>
    <w:rsid w:val="001D4817"/>
    <w:rsid w:val="001E05F3"/>
    <w:rsid w:val="00240825"/>
    <w:rsid w:val="002475E3"/>
    <w:rsid w:val="0029647D"/>
    <w:rsid w:val="002C1517"/>
    <w:rsid w:val="002C2AEB"/>
    <w:rsid w:val="002C6D8B"/>
    <w:rsid w:val="002D0D82"/>
    <w:rsid w:val="003331A4"/>
    <w:rsid w:val="003478DA"/>
    <w:rsid w:val="00373507"/>
    <w:rsid w:val="003744B4"/>
    <w:rsid w:val="0039373E"/>
    <w:rsid w:val="00396D07"/>
    <w:rsid w:val="0039758D"/>
    <w:rsid w:val="003B01B6"/>
    <w:rsid w:val="003B2698"/>
    <w:rsid w:val="003B3565"/>
    <w:rsid w:val="003D0038"/>
    <w:rsid w:val="003E0276"/>
    <w:rsid w:val="003E6520"/>
    <w:rsid w:val="00451F7D"/>
    <w:rsid w:val="00455B3F"/>
    <w:rsid w:val="004A6EDE"/>
    <w:rsid w:val="004D1270"/>
    <w:rsid w:val="004D6EED"/>
    <w:rsid w:val="00517BB1"/>
    <w:rsid w:val="00521886"/>
    <w:rsid w:val="00521FFB"/>
    <w:rsid w:val="005262C2"/>
    <w:rsid w:val="005345E4"/>
    <w:rsid w:val="00547C8C"/>
    <w:rsid w:val="00555174"/>
    <w:rsid w:val="00575BD2"/>
    <w:rsid w:val="00587344"/>
    <w:rsid w:val="00591410"/>
    <w:rsid w:val="005956BF"/>
    <w:rsid w:val="005B3464"/>
    <w:rsid w:val="005C29FD"/>
    <w:rsid w:val="005C6AA0"/>
    <w:rsid w:val="0063144F"/>
    <w:rsid w:val="00634DA7"/>
    <w:rsid w:val="006704F3"/>
    <w:rsid w:val="0069768A"/>
    <w:rsid w:val="006B5812"/>
    <w:rsid w:val="006F74E4"/>
    <w:rsid w:val="00723990"/>
    <w:rsid w:val="00725C9B"/>
    <w:rsid w:val="0074255D"/>
    <w:rsid w:val="00745B93"/>
    <w:rsid w:val="00756D94"/>
    <w:rsid w:val="00790D47"/>
    <w:rsid w:val="00795F1C"/>
    <w:rsid w:val="007D4720"/>
    <w:rsid w:val="007F5D96"/>
    <w:rsid w:val="00822B04"/>
    <w:rsid w:val="00836857"/>
    <w:rsid w:val="00892F86"/>
    <w:rsid w:val="008A64D6"/>
    <w:rsid w:val="008B1B87"/>
    <w:rsid w:val="008C0464"/>
    <w:rsid w:val="008C3CF6"/>
    <w:rsid w:val="008E320B"/>
    <w:rsid w:val="008F757D"/>
    <w:rsid w:val="00902379"/>
    <w:rsid w:val="00907825"/>
    <w:rsid w:val="00916564"/>
    <w:rsid w:val="0094375C"/>
    <w:rsid w:val="00997C08"/>
    <w:rsid w:val="009C1B2D"/>
    <w:rsid w:val="009D3054"/>
    <w:rsid w:val="00A10F21"/>
    <w:rsid w:val="00A20EDF"/>
    <w:rsid w:val="00A22E14"/>
    <w:rsid w:val="00A3252E"/>
    <w:rsid w:val="00A60040"/>
    <w:rsid w:val="00A6283B"/>
    <w:rsid w:val="00AC08F1"/>
    <w:rsid w:val="00AD343B"/>
    <w:rsid w:val="00AD5AE1"/>
    <w:rsid w:val="00B653B4"/>
    <w:rsid w:val="00B8066B"/>
    <w:rsid w:val="00B91746"/>
    <w:rsid w:val="00BA783D"/>
    <w:rsid w:val="00BB709E"/>
    <w:rsid w:val="00BC125D"/>
    <w:rsid w:val="00BC372B"/>
    <w:rsid w:val="00BE1949"/>
    <w:rsid w:val="00BF65A4"/>
    <w:rsid w:val="00C03F20"/>
    <w:rsid w:val="00C102AB"/>
    <w:rsid w:val="00C17396"/>
    <w:rsid w:val="00C412AC"/>
    <w:rsid w:val="00CB1212"/>
    <w:rsid w:val="00CC14D6"/>
    <w:rsid w:val="00CD2246"/>
    <w:rsid w:val="00CD668D"/>
    <w:rsid w:val="00D22A8C"/>
    <w:rsid w:val="00D2745F"/>
    <w:rsid w:val="00D332BA"/>
    <w:rsid w:val="00D74EE1"/>
    <w:rsid w:val="00D876DE"/>
    <w:rsid w:val="00D87891"/>
    <w:rsid w:val="00DA224A"/>
    <w:rsid w:val="00DA56F9"/>
    <w:rsid w:val="00DD30BC"/>
    <w:rsid w:val="00DE09EF"/>
    <w:rsid w:val="00E26673"/>
    <w:rsid w:val="00E50CB6"/>
    <w:rsid w:val="00E53BDC"/>
    <w:rsid w:val="00E923EA"/>
    <w:rsid w:val="00EA0EB1"/>
    <w:rsid w:val="00EB23FD"/>
    <w:rsid w:val="00ED0D07"/>
    <w:rsid w:val="00EE4581"/>
    <w:rsid w:val="00F46B97"/>
    <w:rsid w:val="00FA450B"/>
    <w:rsid w:val="00FB3EE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7C97C"/>
  <w15:docId w15:val="{7D457D6B-D5BB-44B9-B8E5-C619F370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4F3"/>
    <w:rPr>
      <w:color w:val="0000FF" w:themeColor="hyperlink"/>
      <w:u w:val="single"/>
    </w:rPr>
  </w:style>
  <w:style w:type="character" w:styleId="FollowedHyperlink">
    <w:name w:val="FollowedHyperlink"/>
    <w:basedOn w:val="DefaultParagraphFont"/>
    <w:uiPriority w:val="99"/>
    <w:semiHidden/>
    <w:unhideWhenUsed/>
    <w:rsid w:val="006704F3"/>
    <w:rPr>
      <w:color w:val="800080" w:themeColor="followedHyperlink"/>
      <w:u w:val="single"/>
    </w:rPr>
  </w:style>
  <w:style w:type="paragraph" w:styleId="Header">
    <w:name w:val="header"/>
    <w:basedOn w:val="Normal"/>
    <w:link w:val="HeaderChar"/>
    <w:uiPriority w:val="99"/>
    <w:unhideWhenUsed/>
    <w:rsid w:val="006704F3"/>
    <w:pPr>
      <w:tabs>
        <w:tab w:val="center" w:pos="4680"/>
        <w:tab w:val="right" w:pos="9360"/>
      </w:tabs>
      <w:spacing w:line="240" w:lineRule="auto"/>
    </w:pPr>
  </w:style>
  <w:style w:type="character" w:customStyle="1" w:styleId="HeaderChar">
    <w:name w:val="Header Char"/>
    <w:basedOn w:val="DefaultParagraphFont"/>
    <w:link w:val="Header"/>
    <w:uiPriority w:val="99"/>
    <w:rsid w:val="006704F3"/>
    <w:rPr>
      <w:rFonts w:ascii="Calibri" w:eastAsia="Calibri" w:hAnsi="Calibri" w:cs="Calibri"/>
      <w:color w:val="000000"/>
    </w:rPr>
  </w:style>
  <w:style w:type="paragraph" w:styleId="Footer">
    <w:name w:val="footer"/>
    <w:basedOn w:val="Normal"/>
    <w:link w:val="FooterChar"/>
    <w:uiPriority w:val="99"/>
    <w:unhideWhenUsed/>
    <w:rsid w:val="006704F3"/>
    <w:pPr>
      <w:tabs>
        <w:tab w:val="center" w:pos="4680"/>
        <w:tab w:val="right" w:pos="9360"/>
      </w:tabs>
      <w:spacing w:line="240" w:lineRule="auto"/>
    </w:pPr>
  </w:style>
  <w:style w:type="character" w:customStyle="1" w:styleId="FooterChar">
    <w:name w:val="Footer Char"/>
    <w:basedOn w:val="DefaultParagraphFont"/>
    <w:link w:val="Footer"/>
    <w:uiPriority w:val="99"/>
    <w:rsid w:val="006704F3"/>
    <w:rPr>
      <w:rFonts w:ascii="Calibri" w:eastAsia="Calibri" w:hAnsi="Calibri" w:cs="Calibri"/>
      <w:color w:val="000000"/>
    </w:rPr>
  </w:style>
  <w:style w:type="character" w:styleId="PlaceholderText">
    <w:name w:val="Placeholder Text"/>
    <w:basedOn w:val="DefaultParagraphFont"/>
    <w:uiPriority w:val="99"/>
    <w:semiHidden/>
    <w:rsid w:val="00001BAC"/>
    <w:rPr>
      <w:color w:val="808080"/>
    </w:rPr>
  </w:style>
  <w:style w:type="paragraph" w:styleId="ListParagraph">
    <w:name w:val="List Paragraph"/>
    <w:basedOn w:val="Normal"/>
    <w:uiPriority w:val="34"/>
    <w:qFormat/>
    <w:rsid w:val="00AD343B"/>
    <w:pPr>
      <w:ind w:left="720"/>
      <w:contextualSpacing/>
    </w:pPr>
  </w:style>
  <w:style w:type="paragraph" w:styleId="BalloonText">
    <w:name w:val="Balloon Text"/>
    <w:basedOn w:val="Normal"/>
    <w:link w:val="BalloonTextChar"/>
    <w:uiPriority w:val="99"/>
    <w:semiHidden/>
    <w:unhideWhenUsed/>
    <w:rsid w:val="003331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1A4"/>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3331A4"/>
    <w:rPr>
      <w:sz w:val="16"/>
      <w:szCs w:val="16"/>
    </w:rPr>
  </w:style>
  <w:style w:type="paragraph" w:styleId="CommentText">
    <w:name w:val="annotation text"/>
    <w:basedOn w:val="Normal"/>
    <w:link w:val="CommentTextChar"/>
    <w:uiPriority w:val="99"/>
    <w:semiHidden/>
    <w:unhideWhenUsed/>
    <w:rsid w:val="003331A4"/>
    <w:pPr>
      <w:spacing w:line="240" w:lineRule="auto"/>
    </w:pPr>
    <w:rPr>
      <w:sz w:val="20"/>
      <w:szCs w:val="20"/>
    </w:rPr>
  </w:style>
  <w:style w:type="character" w:customStyle="1" w:styleId="CommentTextChar">
    <w:name w:val="Comment Text Char"/>
    <w:basedOn w:val="DefaultParagraphFont"/>
    <w:link w:val="CommentText"/>
    <w:uiPriority w:val="99"/>
    <w:semiHidden/>
    <w:rsid w:val="003331A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331A4"/>
    <w:rPr>
      <w:b/>
      <w:bCs/>
    </w:rPr>
  </w:style>
  <w:style w:type="character" w:customStyle="1" w:styleId="CommentSubjectChar">
    <w:name w:val="Comment Subject Char"/>
    <w:basedOn w:val="CommentTextChar"/>
    <w:link w:val="CommentSubject"/>
    <w:uiPriority w:val="99"/>
    <w:semiHidden/>
    <w:rsid w:val="003331A4"/>
    <w:rPr>
      <w:rFonts w:ascii="Calibri" w:eastAsia="Calibri" w:hAnsi="Calibri" w:cs="Calibri"/>
      <w:b/>
      <w:bCs/>
      <w:color w:val="000000"/>
      <w:sz w:val="20"/>
      <w:szCs w:val="20"/>
    </w:rPr>
  </w:style>
  <w:style w:type="paragraph" w:styleId="FootnoteText">
    <w:name w:val="footnote text"/>
    <w:basedOn w:val="Normal"/>
    <w:link w:val="FootnoteTextChar"/>
    <w:uiPriority w:val="99"/>
    <w:semiHidden/>
    <w:unhideWhenUsed/>
    <w:rsid w:val="003B2698"/>
    <w:pPr>
      <w:spacing w:line="240" w:lineRule="auto"/>
    </w:pPr>
    <w:rPr>
      <w:sz w:val="20"/>
      <w:szCs w:val="20"/>
    </w:rPr>
  </w:style>
  <w:style w:type="character" w:customStyle="1" w:styleId="FootnoteTextChar">
    <w:name w:val="Footnote Text Char"/>
    <w:basedOn w:val="DefaultParagraphFont"/>
    <w:link w:val="FootnoteText"/>
    <w:uiPriority w:val="99"/>
    <w:semiHidden/>
    <w:rsid w:val="003B2698"/>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3B2698"/>
    <w:rPr>
      <w:vertAlign w:val="superscript"/>
    </w:rPr>
  </w:style>
  <w:style w:type="character" w:styleId="UnresolvedMention">
    <w:name w:val="Unresolved Mention"/>
    <w:basedOn w:val="DefaultParagraphFont"/>
    <w:uiPriority w:val="99"/>
    <w:semiHidden/>
    <w:unhideWhenUsed/>
    <w:rsid w:val="003B2698"/>
    <w:rPr>
      <w:color w:val="605E5C"/>
      <w:shd w:val="clear" w:color="auto" w:fill="E1DFDD"/>
    </w:rPr>
  </w:style>
  <w:style w:type="paragraph" w:styleId="Revision">
    <w:name w:val="Revision"/>
    <w:hidden/>
    <w:uiPriority w:val="99"/>
    <w:semiHidden/>
    <w:rsid w:val="00451F7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10556"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2841" TargetMode="External"/><Relationship Id="rId2" Type="http://schemas.openxmlformats.org/officeDocument/2006/relationships/customXml" Target="../customXml/item2.xml"/><Relationship Id="rId16" Type="http://schemas.openxmlformats.org/officeDocument/2006/relationships/hyperlink" Target="https://popp.undp.org/node/1055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opp.undp.org/UNDP_POPP_DOCUMENT_LIBRARY/Public/FRM_Resource%20Planning%20and%20Cost%20Recovery_Cost%20Recovery_Cost%20Recovery%20from%20Other%20Resources%20-%20GMS.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UNDP_POPP_DOCUMENT_LIBRARY/Public/FRM_Resource%20Planning%20and%20Cost%20Recovery_Cost%20Recovery_Cost%20Recovery%20from%20Other%20Resources%20-%20GMS.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popp.undp.org/document/guidance-note-gms-setup-quant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E0F6239F0B41DBBB3BD770598D6EB8"/>
        <w:category>
          <w:name w:val="General"/>
          <w:gallery w:val="placeholder"/>
        </w:category>
        <w:types>
          <w:type w:val="bbPlcHdr"/>
        </w:types>
        <w:behaviors>
          <w:behavior w:val="content"/>
        </w:behaviors>
        <w:guid w:val="{CD3A5D11-8ED9-4243-838B-D8A6C9185404}"/>
      </w:docPartPr>
      <w:docPartBody>
        <w:p w:rsidR="00155688" w:rsidRDefault="00AA2D1D">
          <w:r w:rsidRPr="0021430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1D"/>
    <w:rsid w:val="00155688"/>
    <w:rsid w:val="001C36C3"/>
    <w:rsid w:val="0038716A"/>
    <w:rsid w:val="004A42BC"/>
    <w:rsid w:val="005C7D61"/>
    <w:rsid w:val="00873559"/>
    <w:rsid w:val="00901272"/>
    <w:rsid w:val="00952342"/>
    <w:rsid w:val="00AA2D1D"/>
    <w:rsid w:val="00DB5604"/>
    <w:rsid w:val="00E23F65"/>
    <w:rsid w:val="00E66C8A"/>
    <w:rsid w:val="00F730FC"/>
    <w:rsid w:val="00F90E6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6</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General Management Support Fee Setup and Collection</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29/11/2022                                                Version #: 6</DLCPolicyLabelValue>
    <UNDP_POPP_EFFECTIVEDATE xmlns="8264c5cc-ec60-4b56-8111-ce635d3d139a">2022-11-28T23:00:00+00:00</UNDP_POPP_EFFECTIVEDATE>
    <DLCPolicyLabelLock xmlns="e560140e-7b2f-4392-90df-e7567e3021a3" xsi:nil="true"/>
    <DLCPolicyLabelClientValue xmlns="e560140e-7b2f-4392-90df-e7567e3021a3">Effective Date: 29/11/2022                                                Version #: 6.0</DLCPolicyLabelClientValue>
    <UNDP_POPP_BUSINESSUNITID_HIDDEN xmlns="8264c5cc-ec60-4b56-8111-ce635d3d139a" xsi:nil="true"/>
    <_dlc_DocId xmlns="8264c5cc-ec60-4b56-8111-ce635d3d139a">POPP-11-2413</_dlc_DocId>
    <_dlc_DocIdUrl xmlns="8264c5cc-ec60-4b56-8111-ce635d3d139a">
      <Url>https://popp.undp.org/_layouts/15/DocIdRedir.aspx?ID=POPP-11-2413</Url>
      <Description>POPP-11-2413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C9628490-3305-425C-9C5C-71B0D682170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4837CEED-F004-45AE-8813-0234540FD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5F970-0D8A-41E3-A2C4-432CB7B83615}">
  <ds:schemaRefs>
    <ds:schemaRef ds:uri="http://schemas.microsoft.com/sharepoint/v3/contenttype/forms"/>
  </ds:schemaRefs>
</ds:datastoreItem>
</file>

<file path=customXml/itemProps4.xml><?xml version="1.0" encoding="utf-8"?>
<ds:datastoreItem xmlns:ds="http://schemas.openxmlformats.org/officeDocument/2006/customXml" ds:itemID="{39E107B3-F5AD-46EB-AEE3-95F3E0A9D37F}">
  <ds:schemaRefs>
    <ds:schemaRef ds:uri="http://schemas.microsoft.com/sharepoint/events"/>
  </ds:schemaRefs>
</ds:datastoreItem>
</file>

<file path=customXml/itemProps5.xml><?xml version="1.0" encoding="utf-8"?>
<ds:datastoreItem xmlns:ds="http://schemas.openxmlformats.org/officeDocument/2006/customXml" ds:itemID="{BEA3D920-F452-4067-9D61-0BA794435EFD}">
  <ds:schemaRefs>
    <ds:schemaRef ds:uri="http://schemas.openxmlformats.org/officeDocument/2006/bibliography"/>
  </ds:schemaRefs>
</ds:datastoreItem>
</file>

<file path=customXml/itemProps6.xml><?xml version="1.0" encoding="utf-8"?>
<ds:datastoreItem xmlns:ds="http://schemas.openxmlformats.org/officeDocument/2006/customXml" ds:itemID="{C7E744E8-2CEC-4A7C-A458-85473CE3984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Pablo Morete</cp:lastModifiedBy>
  <cp:revision>4</cp:revision>
  <cp:lastPrinted>2017-01-25T20:49:00Z</cp:lastPrinted>
  <dcterms:created xsi:type="dcterms:W3CDTF">2023-01-11T21:25:00Z</dcterms:created>
  <dcterms:modified xsi:type="dcterms:W3CDTF">2024-06-06T07:37:00Z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0bc6c8ac-073a-4827-98f1-9d513275141a</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