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CFB41" w14:textId="6592DFC8" w:rsidR="007C6BC9" w:rsidRDefault="007C6BC9" w:rsidP="007C6BC9">
      <w:pPr>
        <w:pStyle w:val="ListParagraph"/>
        <w:spacing w:line="240" w:lineRule="auto"/>
        <w:rPr>
          <w:rFonts w:asciiTheme="majorHAnsi" w:hAnsiTheme="majorHAnsi" w:cs="Arial"/>
          <w:b/>
          <w:bCs/>
          <w:sz w:val="28"/>
          <w:szCs w:val="28"/>
        </w:rPr>
      </w:pPr>
      <w:r>
        <w:rPr>
          <w:rFonts w:asciiTheme="majorHAnsi" w:hAnsiTheme="majorHAnsi"/>
          <w:b/>
          <w:bCs/>
          <w:sz w:val="28"/>
          <w:szCs w:val="28"/>
        </w:rPr>
        <w:t>Gestion des marchés</w:t>
      </w:r>
    </w:p>
    <w:p w14:paraId="650FC746" w14:textId="77777777" w:rsidR="007C6BC9" w:rsidRPr="007C6BC9" w:rsidRDefault="007C6BC9" w:rsidP="007C6BC9">
      <w:pPr>
        <w:pStyle w:val="ListParagraph"/>
        <w:spacing w:line="240" w:lineRule="auto"/>
        <w:rPr>
          <w:rFonts w:asciiTheme="majorHAnsi" w:hAnsiTheme="majorHAnsi" w:cs="Arial"/>
          <w:b/>
          <w:bCs/>
          <w:sz w:val="28"/>
          <w:szCs w:val="28"/>
        </w:rPr>
      </w:pPr>
    </w:p>
    <w:p w14:paraId="295CC064" w14:textId="22066236" w:rsidR="00FF097F" w:rsidRPr="001B37EA" w:rsidRDefault="007060ED" w:rsidP="00DE6097">
      <w:pPr>
        <w:pStyle w:val="ListParagraph"/>
        <w:numPr>
          <w:ilvl w:val="0"/>
          <w:numId w:val="28"/>
        </w:numPr>
        <w:spacing w:line="240" w:lineRule="auto"/>
        <w:jc w:val="both"/>
        <w:rPr>
          <w:rFonts w:asciiTheme="majorHAnsi" w:hAnsiTheme="majorHAnsi"/>
        </w:rPr>
      </w:pPr>
      <w:r>
        <w:rPr>
          <w:rFonts w:asciiTheme="majorHAnsi" w:hAnsiTheme="majorHAnsi"/>
        </w:rPr>
        <w:t xml:space="preserve">La gestion des marchés est le suivi efficace et effectif des activités contractuelles pour garantir que les biens, services ou travaux contractés par le </w:t>
      </w:r>
      <w:r w:rsidR="001776DF" w:rsidRPr="001776DF">
        <w:rPr>
          <w:rFonts w:asciiTheme="majorHAnsi" w:hAnsiTheme="majorHAnsi"/>
        </w:rPr>
        <w:t>Programme des Nati</w:t>
      </w:r>
      <w:r w:rsidR="001776DF">
        <w:rPr>
          <w:rFonts w:asciiTheme="majorHAnsi" w:hAnsiTheme="majorHAnsi"/>
        </w:rPr>
        <w:t xml:space="preserve">ons Unies pour le </w:t>
      </w:r>
      <w:r w:rsidR="0049541B">
        <w:rPr>
          <w:rFonts w:asciiTheme="majorHAnsi" w:hAnsiTheme="majorHAnsi"/>
        </w:rPr>
        <w:t xml:space="preserve">Développement </w:t>
      </w:r>
      <w:r>
        <w:rPr>
          <w:rFonts w:asciiTheme="majorHAnsi" w:hAnsiTheme="majorHAnsi"/>
        </w:rPr>
        <w:t>soient livrés en temps voulu, au coût convenu et aux exigences spécifiées</w:t>
      </w:r>
      <w:r w:rsidR="00056ED9">
        <w:rPr>
          <w:rFonts w:asciiTheme="majorHAnsi" w:hAnsiTheme="majorHAnsi"/>
        </w:rPr>
        <w:t> ; tous ces éléments</w:t>
      </w:r>
      <w:r w:rsidR="005C70DF">
        <w:rPr>
          <w:rFonts w:asciiTheme="majorHAnsi" w:hAnsiTheme="majorHAnsi"/>
        </w:rPr>
        <w:t xml:space="preserve"> doivent être </w:t>
      </w:r>
      <w:r>
        <w:rPr>
          <w:rFonts w:asciiTheme="majorHAnsi" w:hAnsiTheme="majorHAnsi"/>
        </w:rPr>
        <w:t xml:space="preserve">clairement établis dans </w:t>
      </w:r>
      <w:r w:rsidR="001C63D3">
        <w:rPr>
          <w:rFonts w:asciiTheme="majorHAnsi" w:hAnsiTheme="majorHAnsi"/>
        </w:rPr>
        <w:t xml:space="preserve">les termes de </w:t>
      </w:r>
      <w:r w:rsidR="0049541B">
        <w:rPr>
          <w:rFonts w:asciiTheme="majorHAnsi" w:hAnsiTheme="majorHAnsi"/>
        </w:rPr>
        <w:t>référence, les</w:t>
      </w:r>
      <w:r>
        <w:rPr>
          <w:rFonts w:asciiTheme="majorHAnsi" w:hAnsiTheme="majorHAnsi"/>
        </w:rPr>
        <w:t xml:space="preserve"> </w:t>
      </w:r>
      <w:r w:rsidR="00DB5DC4">
        <w:rPr>
          <w:rFonts w:asciiTheme="majorHAnsi" w:hAnsiTheme="majorHAnsi"/>
        </w:rPr>
        <w:t xml:space="preserve">spécifications </w:t>
      </w:r>
      <w:r w:rsidR="004B1025">
        <w:rPr>
          <w:rFonts w:asciiTheme="majorHAnsi" w:hAnsiTheme="majorHAnsi"/>
        </w:rPr>
        <w:t xml:space="preserve">techniques </w:t>
      </w:r>
      <w:r w:rsidR="00DB5DC4">
        <w:rPr>
          <w:rFonts w:asciiTheme="majorHAnsi" w:hAnsiTheme="majorHAnsi"/>
        </w:rPr>
        <w:t>ou</w:t>
      </w:r>
      <w:r w:rsidR="0049541B">
        <w:rPr>
          <w:rFonts w:asciiTheme="majorHAnsi" w:hAnsiTheme="majorHAnsi"/>
        </w:rPr>
        <w:t xml:space="preserve"> les cahiers de charge </w:t>
      </w:r>
      <w:r>
        <w:rPr>
          <w:rFonts w:asciiTheme="majorHAnsi" w:hAnsiTheme="majorHAnsi"/>
        </w:rPr>
        <w:t>au stade préalable</w:t>
      </w:r>
      <w:r w:rsidR="001C63D3">
        <w:rPr>
          <w:rFonts w:asciiTheme="majorHAnsi" w:hAnsiTheme="majorHAnsi"/>
        </w:rPr>
        <w:t xml:space="preserve"> à</w:t>
      </w:r>
      <w:r w:rsidR="001C63D3" w:rsidRPr="001C63D3">
        <w:rPr>
          <w:rFonts w:asciiTheme="majorHAnsi" w:hAnsiTheme="majorHAnsi"/>
        </w:rPr>
        <w:t xml:space="preserve"> </w:t>
      </w:r>
      <w:r w:rsidR="001C63D3">
        <w:rPr>
          <w:rFonts w:asciiTheme="majorHAnsi" w:hAnsiTheme="majorHAnsi"/>
        </w:rPr>
        <w:t>l'</w:t>
      </w:r>
      <w:r w:rsidR="007A7557">
        <w:rPr>
          <w:rFonts w:asciiTheme="majorHAnsi" w:hAnsiTheme="majorHAnsi"/>
        </w:rPr>
        <w:t>attribution du processus de passation des marchés.</w:t>
      </w:r>
    </w:p>
    <w:p w14:paraId="664D8EBF" w14:textId="77777777" w:rsidR="00FF097F" w:rsidRPr="001B37EA" w:rsidRDefault="00FF097F" w:rsidP="00DE6097">
      <w:pPr>
        <w:pStyle w:val="ListParagraph"/>
        <w:spacing w:line="240" w:lineRule="auto"/>
        <w:jc w:val="both"/>
        <w:rPr>
          <w:rFonts w:asciiTheme="majorHAnsi" w:hAnsiTheme="majorHAnsi"/>
        </w:rPr>
      </w:pPr>
    </w:p>
    <w:p w14:paraId="486A2E19" w14:textId="34FF3BF9" w:rsidR="00CC37BB" w:rsidRPr="001B37EA" w:rsidRDefault="00E74ECE" w:rsidP="00DE6097">
      <w:pPr>
        <w:pStyle w:val="ListParagraph"/>
        <w:numPr>
          <w:ilvl w:val="0"/>
          <w:numId w:val="28"/>
        </w:numPr>
        <w:spacing w:line="240" w:lineRule="auto"/>
        <w:jc w:val="both"/>
        <w:rPr>
          <w:rFonts w:asciiTheme="majorHAnsi" w:hAnsiTheme="majorHAnsi"/>
        </w:rPr>
      </w:pPr>
      <w:r>
        <w:rPr>
          <w:rFonts w:asciiTheme="majorHAnsi" w:hAnsiTheme="majorHAnsi"/>
        </w:rPr>
        <w:t xml:space="preserve"> La gestion des marchés englobe toutes les tâches postérieures à l</w:t>
      </w:r>
      <w:r w:rsidR="001776DF">
        <w:rPr>
          <w:rFonts w:asciiTheme="majorHAnsi" w:hAnsiTheme="majorHAnsi"/>
        </w:rPr>
        <w:t>’</w:t>
      </w:r>
      <w:r>
        <w:rPr>
          <w:rFonts w:asciiTheme="majorHAnsi" w:hAnsiTheme="majorHAnsi"/>
        </w:rPr>
        <w:t xml:space="preserve">attribution, y compris </w:t>
      </w:r>
      <w:r w:rsidR="0049541B">
        <w:rPr>
          <w:rFonts w:asciiTheme="majorHAnsi" w:hAnsiTheme="majorHAnsi"/>
        </w:rPr>
        <w:t xml:space="preserve">le suivi </w:t>
      </w:r>
      <w:r>
        <w:rPr>
          <w:rFonts w:asciiTheme="majorHAnsi" w:hAnsiTheme="majorHAnsi"/>
        </w:rPr>
        <w:t>des résultats, la gestion des relations, la gestion des risques, l</w:t>
      </w:r>
      <w:r w:rsidR="001776DF">
        <w:rPr>
          <w:rFonts w:asciiTheme="majorHAnsi" w:hAnsiTheme="majorHAnsi"/>
        </w:rPr>
        <w:t>’</w:t>
      </w:r>
      <w:r>
        <w:rPr>
          <w:rFonts w:asciiTheme="majorHAnsi" w:hAnsiTheme="majorHAnsi"/>
        </w:rPr>
        <w:t xml:space="preserve">administration des </w:t>
      </w:r>
      <w:r w:rsidR="00697E4E">
        <w:rPr>
          <w:rFonts w:asciiTheme="majorHAnsi" w:hAnsiTheme="majorHAnsi"/>
        </w:rPr>
        <w:t xml:space="preserve">contrats </w:t>
      </w:r>
      <w:r>
        <w:rPr>
          <w:rFonts w:asciiTheme="majorHAnsi" w:hAnsiTheme="majorHAnsi"/>
        </w:rPr>
        <w:t>et le règlement des différends. La nature et l</w:t>
      </w:r>
      <w:r w:rsidR="001776DF">
        <w:rPr>
          <w:rFonts w:asciiTheme="majorHAnsi" w:hAnsiTheme="majorHAnsi"/>
        </w:rPr>
        <w:t>’</w:t>
      </w:r>
      <w:r>
        <w:rPr>
          <w:rFonts w:asciiTheme="majorHAnsi" w:hAnsiTheme="majorHAnsi"/>
        </w:rPr>
        <w:t xml:space="preserve">étendue de la gestion des </w:t>
      </w:r>
      <w:r w:rsidR="00697E4E">
        <w:rPr>
          <w:rFonts w:asciiTheme="majorHAnsi" w:hAnsiTheme="majorHAnsi"/>
        </w:rPr>
        <w:t xml:space="preserve">contrats </w:t>
      </w:r>
      <w:r>
        <w:rPr>
          <w:rFonts w:asciiTheme="majorHAnsi" w:hAnsiTheme="majorHAnsi"/>
        </w:rPr>
        <w:t>varient en fonction de la nature, de la valeur et de la complexité de chaque marché.</w:t>
      </w:r>
    </w:p>
    <w:p w14:paraId="2C774076" w14:textId="77777777" w:rsidR="00CC37BB" w:rsidRPr="00A80A0C" w:rsidRDefault="00CC37BB" w:rsidP="00A80A0C">
      <w:pPr>
        <w:pStyle w:val="ListParagraph"/>
        <w:spacing w:line="240" w:lineRule="auto"/>
        <w:rPr>
          <w:rFonts w:asciiTheme="majorHAnsi" w:hAnsiTheme="majorHAnsi" w:cs="Helvetica"/>
          <w:b/>
        </w:rPr>
      </w:pPr>
    </w:p>
    <w:p w14:paraId="75F0BE5D" w14:textId="3EAC8538" w:rsidR="00CC37BB" w:rsidRPr="001B37EA" w:rsidRDefault="002E145C" w:rsidP="00A80A0C">
      <w:pPr>
        <w:pStyle w:val="ListParagraph"/>
        <w:spacing w:line="240" w:lineRule="auto"/>
        <w:rPr>
          <w:rFonts w:asciiTheme="majorHAnsi" w:hAnsiTheme="majorHAnsi"/>
          <w:b/>
        </w:rPr>
      </w:pPr>
      <w:r>
        <w:rPr>
          <w:rFonts w:asciiTheme="majorHAnsi" w:hAnsiTheme="majorHAnsi"/>
          <w:b/>
        </w:rPr>
        <w:t xml:space="preserve">Principes de gestion des </w:t>
      </w:r>
      <w:r w:rsidR="00697E4E">
        <w:rPr>
          <w:rFonts w:asciiTheme="majorHAnsi" w:hAnsiTheme="majorHAnsi"/>
          <w:b/>
        </w:rPr>
        <w:t>contrats</w:t>
      </w:r>
    </w:p>
    <w:p w14:paraId="2FC3EB46" w14:textId="77777777" w:rsidR="00CC37BB" w:rsidRPr="00A80A0C" w:rsidRDefault="00CC37BB" w:rsidP="00A80A0C">
      <w:pPr>
        <w:pStyle w:val="ListParagraph"/>
        <w:spacing w:line="240" w:lineRule="auto"/>
        <w:rPr>
          <w:rFonts w:asciiTheme="majorHAnsi" w:hAnsiTheme="majorHAnsi" w:cs="Helvetica"/>
          <w:b/>
        </w:rPr>
      </w:pPr>
    </w:p>
    <w:p w14:paraId="0A25AF14" w14:textId="7B7F83F1" w:rsidR="00E23828" w:rsidRPr="00A80A0C" w:rsidRDefault="003B1B06" w:rsidP="00DE6097">
      <w:pPr>
        <w:pStyle w:val="ListParagraph"/>
        <w:numPr>
          <w:ilvl w:val="0"/>
          <w:numId w:val="28"/>
        </w:numPr>
        <w:spacing w:line="240" w:lineRule="auto"/>
        <w:jc w:val="both"/>
        <w:rPr>
          <w:rFonts w:asciiTheme="majorHAnsi" w:hAnsiTheme="majorHAnsi" w:cs="Helvetica"/>
          <w:b/>
        </w:rPr>
      </w:pPr>
      <w:r>
        <w:rPr>
          <w:rFonts w:asciiTheme="majorHAnsi" w:hAnsiTheme="majorHAnsi"/>
          <w:bCs/>
        </w:rPr>
        <w:t xml:space="preserve">Tous les </w:t>
      </w:r>
      <w:r w:rsidR="00697E4E">
        <w:rPr>
          <w:rFonts w:asciiTheme="majorHAnsi" w:hAnsiTheme="majorHAnsi"/>
          <w:bCs/>
        </w:rPr>
        <w:t>contrats</w:t>
      </w:r>
      <w:r>
        <w:rPr>
          <w:rFonts w:asciiTheme="majorHAnsi" w:hAnsiTheme="majorHAnsi"/>
          <w:bCs/>
        </w:rPr>
        <w:t>, y compris les bons de commande, doivent être contrôlés par l</w:t>
      </w:r>
      <w:r w:rsidR="001776DF">
        <w:rPr>
          <w:rFonts w:asciiTheme="majorHAnsi" w:hAnsiTheme="majorHAnsi"/>
          <w:bCs/>
        </w:rPr>
        <w:t>’</w:t>
      </w:r>
      <w:r w:rsidR="000721FF">
        <w:rPr>
          <w:rFonts w:asciiTheme="majorHAnsi" w:hAnsiTheme="majorHAnsi"/>
          <w:bCs/>
        </w:rPr>
        <w:t>unité requérante</w:t>
      </w:r>
      <w:r w:rsidRPr="00A80A0C">
        <w:rPr>
          <w:rStyle w:val="FootnoteReference"/>
          <w:rFonts w:asciiTheme="majorHAnsi" w:hAnsiTheme="majorHAnsi" w:cs="Helvetica-Bold"/>
          <w:bCs/>
        </w:rPr>
        <w:footnoteReference w:id="1"/>
      </w:r>
      <w:r>
        <w:rPr>
          <w:rFonts w:asciiTheme="majorHAnsi" w:hAnsiTheme="majorHAnsi"/>
          <w:bCs/>
        </w:rPr>
        <w:t xml:space="preserve"> avec l</w:t>
      </w:r>
      <w:r w:rsidR="001776DF">
        <w:rPr>
          <w:rFonts w:asciiTheme="majorHAnsi" w:hAnsiTheme="majorHAnsi"/>
          <w:bCs/>
        </w:rPr>
        <w:t>’</w:t>
      </w:r>
      <w:r>
        <w:rPr>
          <w:rFonts w:asciiTheme="majorHAnsi" w:hAnsiTheme="majorHAnsi"/>
          <w:bCs/>
        </w:rPr>
        <w:t>appui de l</w:t>
      </w:r>
      <w:r w:rsidR="001776DF">
        <w:rPr>
          <w:rFonts w:asciiTheme="majorHAnsi" w:hAnsiTheme="majorHAnsi"/>
          <w:bCs/>
        </w:rPr>
        <w:t>’</w:t>
      </w:r>
      <w:r>
        <w:rPr>
          <w:rFonts w:asciiTheme="majorHAnsi" w:hAnsiTheme="majorHAnsi"/>
          <w:bCs/>
        </w:rPr>
        <w:t>unité chargée des achats. L</w:t>
      </w:r>
      <w:r w:rsidR="001776DF">
        <w:rPr>
          <w:rFonts w:asciiTheme="majorHAnsi" w:hAnsiTheme="majorHAnsi"/>
          <w:bCs/>
        </w:rPr>
        <w:t>’</w:t>
      </w:r>
      <w:r>
        <w:rPr>
          <w:rFonts w:asciiTheme="majorHAnsi" w:hAnsiTheme="majorHAnsi"/>
          <w:bCs/>
        </w:rPr>
        <w:t>unité chargée des achats doit mettre en œuvre toutes les exigences administratives, y compris la gestion de la documentation requise, la gestion des modifications et la clôture du marché</w:t>
      </w:r>
      <w:r w:rsidR="001776DF">
        <w:rPr>
          <w:rFonts w:asciiTheme="majorHAnsi" w:hAnsiTheme="majorHAnsi"/>
          <w:bCs/>
        </w:rPr>
        <w:t> ;</w:t>
      </w:r>
      <w:r>
        <w:rPr>
          <w:rFonts w:asciiTheme="majorHAnsi" w:hAnsiTheme="majorHAnsi"/>
          <w:bCs/>
        </w:rPr>
        <w:t xml:space="preserve"> elle doit collaborer avec le demandeur ou utilisateur final pour gérer la relation avec le fournisseur et assurer une communication efficace.</w:t>
      </w:r>
    </w:p>
    <w:p w14:paraId="62BA5327" w14:textId="77777777" w:rsidR="002350AC" w:rsidRPr="001B37EA" w:rsidRDefault="002350AC" w:rsidP="00DE6097">
      <w:pPr>
        <w:pStyle w:val="ListParagraph"/>
        <w:spacing w:line="240" w:lineRule="auto"/>
        <w:jc w:val="both"/>
        <w:rPr>
          <w:rFonts w:asciiTheme="majorHAnsi" w:hAnsiTheme="majorHAnsi"/>
        </w:rPr>
      </w:pPr>
    </w:p>
    <w:p w14:paraId="2114E48C" w14:textId="308DC11B" w:rsidR="002350AC" w:rsidRPr="00A80A0C" w:rsidRDefault="003B1B06" w:rsidP="00DE6097">
      <w:pPr>
        <w:pStyle w:val="ListParagraph"/>
        <w:numPr>
          <w:ilvl w:val="0"/>
          <w:numId w:val="28"/>
        </w:numPr>
        <w:spacing w:line="240" w:lineRule="auto"/>
        <w:jc w:val="both"/>
        <w:rPr>
          <w:rFonts w:asciiTheme="majorHAnsi" w:hAnsiTheme="majorHAnsi"/>
        </w:rPr>
      </w:pPr>
      <w:r>
        <w:rPr>
          <w:rFonts w:asciiTheme="majorHAnsi" w:hAnsiTheme="majorHAnsi"/>
        </w:rPr>
        <w:t>Lors de l</w:t>
      </w:r>
      <w:r w:rsidR="001776DF">
        <w:rPr>
          <w:rFonts w:asciiTheme="majorHAnsi" w:hAnsiTheme="majorHAnsi"/>
        </w:rPr>
        <w:t>’</w:t>
      </w:r>
      <w:r>
        <w:rPr>
          <w:rFonts w:asciiTheme="majorHAnsi" w:hAnsiTheme="majorHAnsi"/>
        </w:rPr>
        <w:t>attribution du marché, l</w:t>
      </w:r>
      <w:r w:rsidR="001776DF">
        <w:rPr>
          <w:rFonts w:asciiTheme="majorHAnsi" w:hAnsiTheme="majorHAnsi"/>
        </w:rPr>
        <w:t>’</w:t>
      </w:r>
      <w:r w:rsidR="000721FF">
        <w:rPr>
          <w:rFonts w:asciiTheme="majorHAnsi" w:hAnsiTheme="majorHAnsi"/>
        </w:rPr>
        <w:t>unité requérante</w:t>
      </w:r>
      <w:r>
        <w:rPr>
          <w:rFonts w:asciiTheme="majorHAnsi" w:hAnsiTheme="majorHAnsi"/>
        </w:rPr>
        <w:t xml:space="preserve"> et l</w:t>
      </w:r>
      <w:r w:rsidR="001776DF">
        <w:rPr>
          <w:rFonts w:asciiTheme="majorHAnsi" w:hAnsiTheme="majorHAnsi"/>
        </w:rPr>
        <w:t>’</w:t>
      </w:r>
      <w:r>
        <w:rPr>
          <w:rFonts w:asciiTheme="majorHAnsi" w:hAnsiTheme="majorHAnsi"/>
        </w:rPr>
        <w:t xml:space="preserve">unité chargée des achats analysent les modalités et les conditions du </w:t>
      </w:r>
      <w:r w:rsidR="00697E4E">
        <w:rPr>
          <w:rFonts w:asciiTheme="majorHAnsi" w:hAnsiTheme="majorHAnsi"/>
        </w:rPr>
        <w:t xml:space="preserve">contrat </w:t>
      </w:r>
      <w:r>
        <w:rPr>
          <w:rFonts w:asciiTheme="majorHAnsi" w:hAnsiTheme="majorHAnsi"/>
        </w:rPr>
        <w:t xml:space="preserve">signé, rencontrent le fournisseur et élaborent une stratégie de gestion de </w:t>
      </w:r>
      <w:r w:rsidR="00697E4E">
        <w:rPr>
          <w:rFonts w:asciiTheme="majorHAnsi" w:hAnsiTheme="majorHAnsi"/>
        </w:rPr>
        <w:t xml:space="preserve">contrats </w:t>
      </w:r>
      <w:r>
        <w:rPr>
          <w:rFonts w:asciiTheme="majorHAnsi" w:hAnsiTheme="majorHAnsi"/>
        </w:rPr>
        <w:t xml:space="preserve">qui régira la gestion du marché. </w:t>
      </w:r>
      <w:r w:rsidR="001D4430">
        <w:rPr>
          <w:rFonts w:asciiTheme="majorHAnsi" w:hAnsiTheme="majorHAnsi"/>
        </w:rPr>
        <w:t>Dans le cadre de c</w:t>
      </w:r>
      <w:r>
        <w:rPr>
          <w:rFonts w:asciiTheme="majorHAnsi" w:hAnsiTheme="majorHAnsi"/>
        </w:rPr>
        <w:t>ette stratégie</w:t>
      </w:r>
      <w:r w:rsidRPr="001B37EA">
        <w:rPr>
          <w:rStyle w:val="FootnoteReference"/>
          <w:rFonts w:asciiTheme="majorHAnsi" w:hAnsiTheme="majorHAnsi"/>
        </w:rPr>
        <w:footnoteReference w:id="2"/>
      </w:r>
      <w:r w:rsidR="001D4430">
        <w:rPr>
          <w:rFonts w:asciiTheme="majorHAnsi" w:hAnsiTheme="majorHAnsi"/>
        </w:rPr>
        <w:t xml:space="preserve"> et</w:t>
      </w:r>
      <w:r>
        <w:rPr>
          <w:rFonts w:asciiTheme="majorHAnsi" w:hAnsiTheme="majorHAnsi"/>
        </w:rPr>
        <w:t xml:space="preserve"> en fonction de la complexité du marché, </w:t>
      </w:r>
      <w:r w:rsidR="001D4430">
        <w:rPr>
          <w:rFonts w:asciiTheme="majorHAnsi" w:hAnsiTheme="majorHAnsi"/>
        </w:rPr>
        <w:t xml:space="preserve">ces unités doivent </w:t>
      </w:r>
      <w:r>
        <w:rPr>
          <w:rFonts w:asciiTheme="majorHAnsi" w:hAnsiTheme="majorHAnsi"/>
        </w:rPr>
        <w:t>identifier les activités postérieures à l</w:t>
      </w:r>
      <w:r w:rsidR="001776DF">
        <w:rPr>
          <w:rFonts w:asciiTheme="majorHAnsi" w:hAnsiTheme="majorHAnsi"/>
        </w:rPr>
        <w:t>’</w:t>
      </w:r>
      <w:r>
        <w:rPr>
          <w:rFonts w:asciiTheme="majorHAnsi" w:hAnsiTheme="majorHAnsi"/>
        </w:rPr>
        <w:t>attribution du marché telles que les objectifs intermédiaires de résultats pour le suivi de la mise en œuvre du marché</w:t>
      </w:r>
      <w:r w:rsidR="001D4430">
        <w:rPr>
          <w:rFonts w:asciiTheme="majorHAnsi" w:hAnsiTheme="majorHAnsi"/>
        </w:rPr>
        <w:t xml:space="preserve"> ainsi que</w:t>
      </w:r>
      <w:r>
        <w:rPr>
          <w:rFonts w:asciiTheme="majorHAnsi" w:hAnsiTheme="majorHAnsi"/>
        </w:rPr>
        <w:t xml:space="preserve"> les risques et mesures d</w:t>
      </w:r>
      <w:r w:rsidR="001776DF">
        <w:rPr>
          <w:rFonts w:asciiTheme="majorHAnsi" w:hAnsiTheme="majorHAnsi"/>
        </w:rPr>
        <w:t>’</w:t>
      </w:r>
      <w:r>
        <w:rPr>
          <w:rFonts w:asciiTheme="majorHAnsi" w:hAnsiTheme="majorHAnsi"/>
        </w:rPr>
        <w:t xml:space="preserve">atténuation possibles, examiner les rôles et les responsabilités, établir des dispositions de suivi et de communication, y compris la nature et la fréquence des réunions qui </w:t>
      </w:r>
      <w:r w:rsidR="001D4430">
        <w:rPr>
          <w:rFonts w:asciiTheme="majorHAnsi" w:hAnsiTheme="majorHAnsi"/>
        </w:rPr>
        <w:t>se tiendront</w:t>
      </w:r>
      <w:r>
        <w:rPr>
          <w:rFonts w:asciiTheme="majorHAnsi" w:hAnsiTheme="majorHAnsi"/>
        </w:rPr>
        <w:t xml:space="preserve"> avec le fournisseur </w:t>
      </w:r>
      <w:r w:rsidR="001D4430">
        <w:rPr>
          <w:rFonts w:asciiTheme="majorHAnsi" w:hAnsiTheme="majorHAnsi"/>
        </w:rPr>
        <w:t>lors d</w:t>
      </w:r>
      <w:r w:rsidR="00784D8F">
        <w:rPr>
          <w:rFonts w:asciiTheme="majorHAnsi" w:hAnsiTheme="majorHAnsi"/>
        </w:rPr>
        <w:t>e</w:t>
      </w:r>
      <w:r w:rsidR="001D4430">
        <w:rPr>
          <w:rFonts w:asciiTheme="majorHAnsi" w:hAnsiTheme="majorHAnsi"/>
        </w:rPr>
        <w:t xml:space="preserve"> </w:t>
      </w:r>
      <w:r>
        <w:rPr>
          <w:rFonts w:asciiTheme="majorHAnsi" w:hAnsiTheme="majorHAnsi"/>
        </w:rPr>
        <w:t>la mise en œuvre du marché. Cette stratégie permettra à l</w:t>
      </w:r>
      <w:r w:rsidR="001776DF">
        <w:rPr>
          <w:rFonts w:asciiTheme="majorHAnsi" w:hAnsiTheme="majorHAnsi"/>
        </w:rPr>
        <w:t>’</w:t>
      </w:r>
      <w:r w:rsidR="000721FF">
        <w:rPr>
          <w:rFonts w:asciiTheme="majorHAnsi" w:hAnsiTheme="majorHAnsi"/>
        </w:rPr>
        <w:t>unité requérante</w:t>
      </w:r>
      <w:r>
        <w:rPr>
          <w:rFonts w:asciiTheme="majorHAnsi" w:hAnsiTheme="majorHAnsi"/>
        </w:rPr>
        <w:t xml:space="preserve"> de mesurer les progrès, de détecter les écarts de résultats importants, de prendre des mesures correctives et d</w:t>
      </w:r>
      <w:r w:rsidR="001776DF">
        <w:rPr>
          <w:rFonts w:asciiTheme="majorHAnsi" w:hAnsiTheme="majorHAnsi"/>
        </w:rPr>
        <w:t>’</w:t>
      </w:r>
      <w:r>
        <w:rPr>
          <w:rFonts w:asciiTheme="majorHAnsi" w:hAnsiTheme="majorHAnsi"/>
        </w:rPr>
        <w:t>assurer un suivi.</w:t>
      </w:r>
    </w:p>
    <w:p w14:paraId="39909F7C" w14:textId="77777777" w:rsidR="002350AC" w:rsidRPr="001B37EA" w:rsidRDefault="002350AC" w:rsidP="00DE6097">
      <w:pPr>
        <w:pStyle w:val="ListParagraph"/>
        <w:spacing w:line="240" w:lineRule="auto"/>
        <w:jc w:val="both"/>
        <w:rPr>
          <w:rFonts w:asciiTheme="majorHAnsi" w:hAnsiTheme="majorHAnsi"/>
        </w:rPr>
      </w:pPr>
    </w:p>
    <w:p w14:paraId="7C431C9A" w14:textId="56C64B5B" w:rsidR="00D56CC8" w:rsidRPr="00544CB5" w:rsidRDefault="001F2BC5" w:rsidP="00DE6097">
      <w:pPr>
        <w:pStyle w:val="ListParagraph"/>
        <w:numPr>
          <w:ilvl w:val="0"/>
          <w:numId w:val="28"/>
        </w:numPr>
        <w:spacing w:line="240" w:lineRule="auto"/>
        <w:jc w:val="both"/>
        <w:rPr>
          <w:rFonts w:asciiTheme="majorHAnsi" w:hAnsiTheme="majorHAnsi" w:cs="Helvetica-Bold"/>
          <w:bCs/>
        </w:rPr>
      </w:pPr>
      <w:r>
        <w:rPr>
          <w:rFonts w:asciiTheme="majorHAnsi" w:hAnsiTheme="majorHAnsi"/>
          <w:bCs/>
        </w:rPr>
        <w:t xml:space="preserve">Tous les </w:t>
      </w:r>
      <w:r w:rsidR="004B1025">
        <w:rPr>
          <w:rFonts w:asciiTheme="majorHAnsi" w:hAnsiTheme="majorHAnsi"/>
          <w:bCs/>
        </w:rPr>
        <w:t xml:space="preserve">contrats </w:t>
      </w:r>
      <w:r>
        <w:rPr>
          <w:rFonts w:asciiTheme="majorHAnsi" w:hAnsiTheme="majorHAnsi"/>
          <w:bCs/>
        </w:rPr>
        <w:t>doivent être gérés efficacement afin d</w:t>
      </w:r>
      <w:r w:rsidR="001776DF">
        <w:rPr>
          <w:rFonts w:asciiTheme="majorHAnsi" w:hAnsiTheme="majorHAnsi"/>
          <w:bCs/>
        </w:rPr>
        <w:t>’</w:t>
      </w:r>
      <w:r>
        <w:rPr>
          <w:rFonts w:asciiTheme="majorHAnsi" w:hAnsiTheme="majorHAnsi"/>
          <w:bCs/>
        </w:rPr>
        <w:t>éviter des conséquences telles que l</w:t>
      </w:r>
      <w:r w:rsidR="001776DF">
        <w:rPr>
          <w:rFonts w:asciiTheme="majorHAnsi" w:hAnsiTheme="majorHAnsi"/>
          <w:bCs/>
        </w:rPr>
        <w:t>’</w:t>
      </w:r>
      <w:r>
        <w:rPr>
          <w:rFonts w:asciiTheme="majorHAnsi" w:hAnsiTheme="majorHAnsi"/>
          <w:bCs/>
        </w:rPr>
        <w:t xml:space="preserve">incompréhension des exigences techniques, le suivi inadéquat des résultats du fournisseur, la certification tardive des jalons ou des </w:t>
      </w:r>
      <w:r w:rsidR="007A3079">
        <w:rPr>
          <w:rFonts w:asciiTheme="majorHAnsi" w:hAnsiTheme="majorHAnsi"/>
          <w:bCs/>
        </w:rPr>
        <w:t>livrables</w:t>
      </w:r>
      <w:r>
        <w:rPr>
          <w:rFonts w:asciiTheme="majorHAnsi" w:hAnsiTheme="majorHAnsi"/>
          <w:bCs/>
        </w:rPr>
        <w:t xml:space="preserve">, les paiements différés ou </w:t>
      </w:r>
      <w:r w:rsidR="00784D8F">
        <w:rPr>
          <w:rFonts w:asciiTheme="majorHAnsi" w:hAnsiTheme="majorHAnsi"/>
          <w:bCs/>
        </w:rPr>
        <w:t>tardifs</w:t>
      </w:r>
      <w:r>
        <w:rPr>
          <w:rFonts w:asciiTheme="majorHAnsi" w:hAnsiTheme="majorHAnsi"/>
          <w:bCs/>
        </w:rPr>
        <w:t>, l</w:t>
      </w:r>
      <w:r w:rsidR="001776DF">
        <w:rPr>
          <w:rFonts w:asciiTheme="majorHAnsi" w:hAnsiTheme="majorHAnsi"/>
          <w:bCs/>
        </w:rPr>
        <w:t>’</w:t>
      </w:r>
      <w:r>
        <w:rPr>
          <w:rFonts w:asciiTheme="majorHAnsi" w:hAnsiTheme="majorHAnsi"/>
          <w:bCs/>
        </w:rPr>
        <w:t xml:space="preserve">imprécision des rôles et des responsabilités, </w:t>
      </w:r>
      <w:r w:rsidR="00784D8F">
        <w:rPr>
          <w:rFonts w:asciiTheme="majorHAnsi" w:hAnsiTheme="majorHAnsi"/>
          <w:bCs/>
        </w:rPr>
        <w:t xml:space="preserve">autant de conséquences </w:t>
      </w:r>
      <w:r>
        <w:rPr>
          <w:rFonts w:asciiTheme="majorHAnsi" w:hAnsiTheme="majorHAnsi"/>
          <w:bCs/>
        </w:rPr>
        <w:t>qui peuvent entraîner de mauvais résultats,</w:t>
      </w:r>
      <w:r w:rsidR="00FB4A01">
        <w:rPr>
          <w:rFonts w:asciiTheme="majorHAnsi" w:hAnsiTheme="majorHAnsi"/>
          <w:bCs/>
        </w:rPr>
        <w:t xml:space="preserve"> </w:t>
      </w:r>
      <w:r w:rsidR="00FB4A01" w:rsidRPr="004B1025">
        <w:rPr>
          <w:rFonts w:asciiTheme="majorHAnsi" w:hAnsiTheme="majorHAnsi"/>
          <w:bCs/>
        </w:rPr>
        <w:t>une</w:t>
      </w:r>
      <w:r w:rsidR="00CF4B79" w:rsidRPr="004B1025">
        <w:rPr>
          <w:rFonts w:asciiTheme="majorHAnsi" w:hAnsiTheme="majorHAnsi"/>
          <w:bCs/>
        </w:rPr>
        <w:t xml:space="preserve"> </w:t>
      </w:r>
      <w:r w:rsidR="00AB08C9" w:rsidRPr="004B1025">
        <w:rPr>
          <w:rFonts w:asciiTheme="majorHAnsi" w:hAnsiTheme="majorHAnsi"/>
          <w:bCs/>
        </w:rPr>
        <w:t xml:space="preserve">résiliation </w:t>
      </w:r>
      <w:r w:rsidR="00CF4B79" w:rsidRPr="004B1025">
        <w:rPr>
          <w:rFonts w:asciiTheme="majorHAnsi" w:hAnsiTheme="majorHAnsi"/>
          <w:bCs/>
        </w:rPr>
        <w:t>du</w:t>
      </w:r>
      <w:r w:rsidR="00784D8F">
        <w:rPr>
          <w:rFonts w:asciiTheme="majorHAnsi" w:hAnsiTheme="majorHAnsi"/>
          <w:bCs/>
        </w:rPr>
        <w:t xml:space="preserve"> marché</w:t>
      </w:r>
      <w:r>
        <w:rPr>
          <w:rFonts w:asciiTheme="majorHAnsi" w:hAnsiTheme="majorHAnsi"/>
          <w:bCs/>
        </w:rPr>
        <w:t xml:space="preserve"> et des modifications ou prolongations de marchés coûteuses.</w:t>
      </w:r>
    </w:p>
    <w:p w14:paraId="583914BF" w14:textId="77777777" w:rsidR="00544CB5" w:rsidRPr="00544CB5" w:rsidRDefault="00544CB5" w:rsidP="00544CB5">
      <w:pPr>
        <w:pStyle w:val="ListParagraph"/>
        <w:rPr>
          <w:rFonts w:asciiTheme="majorHAnsi" w:hAnsiTheme="majorHAnsi" w:cs="Helvetica-Bold"/>
          <w:bCs/>
        </w:rPr>
      </w:pPr>
    </w:p>
    <w:p w14:paraId="37FF4CFB" w14:textId="77777777" w:rsidR="00544CB5" w:rsidRPr="00544CB5" w:rsidRDefault="00544CB5" w:rsidP="00544CB5">
      <w:pPr>
        <w:jc w:val="both"/>
        <w:rPr>
          <w:rFonts w:asciiTheme="majorHAnsi" w:hAnsiTheme="majorHAnsi" w:cs="Helvetica-Bold"/>
          <w:bCs/>
        </w:rPr>
      </w:pPr>
    </w:p>
    <w:p w14:paraId="35AD47DE" w14:textId="77777777" w:rsidR="00FB4A01" w:rsidRDefault="00FB4A01" w:rsidP="00A80A0C">
      <w:pPr>
        <w:pStyle w:val="ListParagraph"/>
        <w:spacing w:line="240" w:lineRule="auto"/>
        <w:rPr>
          <w:rFonts w:asciiTheme="majorHAnsi" w:hAnsiTheme="majorHAnsi"/>
          <w:b/>
        </w:rPr>
      </w:pPr>
    </w:p>
    <w:p w14:paraId="53AAD64E" w14:textId="1AE65EFA" w:rsidR="00791E3B" w:rsidRPr="00A80A0C" w:rsidRDefault="00A1149C" w:rsidP="00A80A0C">
      <w:pPr>
        <w:pStyle w:val="ListParagraph"/>
        <w:spacing w:line="240" w:lineRule="auto"/>
        <w:rPr>
          <w:rFonts w:asciiTheme="majorHAnsi" w:hAnsiTheme="majorHAnsi"/>
          <w:b/>
        </w:rPr>
      </w:pPr>
      <w:r>
        <w:rPr>
          <w:rFonts w:asciiTheme="majorHAnsi" w:hAnsiTheme="majorHAnsi"/>
          <w:b/>
        </w:rPr>
        <w:t xml:space="preserve">Seuils pour les activités de gestion de </w:t>
      </w:r>
      <w:r w:rsidR="00D643A0">
        <w:rPr>
          <w:rFonts w:asciiTheme="majorHAnsi" w:hAnsiTheme="majorHAnsi"/>
          <w:b/>
        </w:rPr>
        <w:t>contrats</w:t>
      </w:r>
    </w:p>
    <w:p w14:paraId="5BEC5330" w14:textId="77777777" w:rsidR="00500D75" w:rsidRPr="00A80A0C" w:rsidRDefault="00500D75" w:rsidP="00A80A0C">
      <w:pPr>
        <w:pStyle w:val="ListParagraph"/>
        <w:spacing w:line="240" w:lineRule="auto"/>
        <w:rPr>
          <w:rFonts w:asciiTheme="majorHAnsi" w:hAnsiTheme="majorHAnsi"/>
          <w:b/>
        </w:rPr>
      </w:pPr>
    </w:p>
    <w:p w14:paraId="14404503" w14:textId="1389E8D0" w:rsidR="00500D75" w:rsidRPr="00623F2C" w:rsidRDefault="0089167A" w:rsidP="00DE6097">
      <w:pPr>
        <w:pStyle w:val="ListParagraph"/>
        <w:numPr>
          <w:ilvl w:val="0"/>
          <w:numId w:val="28"/>
        </w:numPr>
        <w:spacing w:line="240" w:lineRule="auto"/>
        <w:jc w:val="both"/>
        <w:rPr>
          <w:rFonts w:asciiTheme="majorHAnsi" w:hAnsiTheme="majorHAnsi" w:cs="Helvetica-Bold"/>
          <w:bCs/>
        </w:rPr>
      </w:pPr>
      <w:r>
        <w:rPr>
          <w:rFonts w:asciiTheme="majorHAnsi" w:hAnsiTheme="majorHAnsi"/>
          <w:bCs/>
        </w:rPr>
        <w:t>L</w:t>
      </w:r>
      <w:r w:rsidR="001776DF">
        <w:rPr>
          <w:rFonts w:asciiTheme="majorHAnsi" w:hAnsiTheme="majorHAnsi"/>
          <w:bCs/>
        </w:rPr>
        <w:t>’</w:t>
      </w:r>
      <w:r>
        <w:rPr>
          <w:rFonts w:asciiTheme="majorHAnsi" w:hAnsiTheme="majorHAnsi"/>
          <w:bCs/>
        </w:rPr>
        <w:t xml:space="preserve">étendue des activités de gestion de </w:t>
      </w:r>
      <w:r w:rsidR="00C01513">
        <w:rPr>
          <w:rFonts w:asciiTheme="majorHAnsi" w:hAnsiTheme="majorHAnsi"/>
          <w:bCs/>
        </w:rPr>
        <w:t xml:space="preserve">contrats </w:t>
      </w:r>
      <w:r>
        <w:rPr>
          <w:rFonts w:asciiTheme="majorHAnsi" w:hAnsiTheme="majorHAnsi"/>
          <w:bCs/>
        </w:rPr>
        <w:t xml:space="preserve">dépend de la valeur et de la complexité de chaque marché. Dans le cas de bons de commande de biens ou </w:t>
      </w:r>
      <w:r w:rsidR="002449E5">
        <w:rPr>
          <w:rFonts w:asciiTheme="majorHAnsi" w:hAnsiTheme="majorHAnsi"/>
          <w:bCs/>
        </w:rPr>
        <w:t>de matériel</w:t>
      </w:r>
      <w:r>
        <w:rPr>
          <w:rFonts w:asciiTheme="majorHAnsi" w:hAnsiTheme="majorHAnsi"/>
          <w:bCs/>
        </w:rPr>
        <w:t xml:space="preserve"> de faible valeur, une réunion clarifiant les actions attendues de gestion du marché, communiquée verbalement en personne, par téléphone ou par </w:t>
      </w:r>
      <w:r w:rsidR="001C63D3">
        <w:rPr>
          <w:rFonts w:asciiTheme="majorHAnsi" w:hAnsiTheme="majorHAnsi"/>
          <w:bCs/>
        </w:rPr>
        <w:t>courriel</w:t>
      </w:r>
      <w:r>
        <w:rPr>
          <w:rFonts w:asciiTheme="majorHAnsi" w:hAnsiTheme="majorHAnsi"/>
          <w:bCs/>
        </w:rPr>
        <w:t xml:space="preserve"> suffit pour que les deux parties s</w:t>
      </w:r>
      <w:r w:rsidR="001776DF">
        <w:rPr>
          <w:rFonts w:asciiTheme="majorHAnsi" w:hAnsiTheme="majorHAnsi"/>
          <w:bCs/>
        </w:rPr>
        <w:t>’</w:t>
      </w:r>
      <w:r>
        <w:rPr>
          <w:rFonts w:asciiTheme="majorHAnsi" w:hAnsiTheme="majorHAnsi"/>
          <w:bCs/>
        </w:rPr>
        <w:t>accordent sur les activités de suivi.</w:t>
      </w:r>
    </w:p>
    <w:p w14:paraId="00A43F23" w14:textId="77777777" w:rsidR="00500D75" w:rsidRPr="00623F2C" w:rsidRDefault="00500D75" w:rsidP="00DE6097">
      <w:pPr>
        <w:pStyle w:val="ListParagraph"/>
        <w:spacing w:line="240" w:lineRule="auto"/>
        <w:jc w:val="both"/>
        <w:rPr>
          <w:rFonts w:asciiTheme="majorHAnsi" w:hAnsiTheme="majorHAnsi" w:cs="Helvetica-Bold"/>
          <w:bCs/>
        </w:rPr>
      </w:pPr>
    </w:p>
    <w:p w14:paraId="3816DA49" w14:textId="77777777" w:rsidR="0089167A" w:rsidRPr="00A80A0C" w:rsidRDefault="00500D75" w:rsidP="00DE6097">
      <w:pPr>
        <w:pStyle w:val="ListParagraph"/>
        <w:numPr>
          <w:ilvl w:val="0"/>
          <w:numId w:val="28"/>
        </w:numPr>
        <w:spacing w:line="240" w:lineRule="auto"/>
        <w:jc w:val="both"/>
        <w:rPr>
          <w:rFonts w:asciiTheme="majorHAnsi" w:hAnsiTheme="majorHAnsi" w:cs="Times New Roman"/>
        </w:rPr>
      </w:pPr>
      <w:r w:rsidRPr="009C0F5C">
        <w:rPr>
          <w:rFonts w:asciiTheme="majorHAnsi" w:hAnsiTheme="majorHAnsi"/>
        </w:rPr>
        <w:t>Lorsque les marchés sont de montants élevés, complexes ou de longue durée, une équipe de gestion des marchés composée d</w:t>
      </w:r>
      <w:r w:rsidR="001776DF" w:rsidRPr="009C0F5C">
        <w:rPr>
          <w:rFonts w:asciiTheme="majorHAnsi" w:hAnsiTheme="majorHAnsi"/>
        </w:rPr>
        <w:t>’</w:t>
      </w:r>
      <w:r w:rsidRPr="009C0F5C">
        <w:rPr>
          <w:rFonts w:asciiTheme="majorHAnsi" w:hAnsiTheme="majorHAnsi"/>
        </w:rPr>
        <w:t>experts en la matière, de l</w:t>
      </w:r>
      <w:r w:rsidR="001776DF" w:rsidRPr="009C0F5C">
        <w:rPr>
          <w:rFonts w:asciiTheme="majorHAnsi" w:hAnsiTheme="majorHAnsi"/>
        </w:rPr>
        <w:t>’</w:t>
      </w:r>
      <w:r w:rsidRPr="009C0F5C">
        <w:rPr>
          <w:rFonts w:asciiTheme="majorHAnsi" w:hAnsiTheme="majorHAnsi"/>
        </w:rPr>
        <w:t>unité chargée des achats, de l</w:t>
      </w:r>
      <w:r w:rsidR="001776DF" w:rsidRPr="009C0F5C">
        <w:rPr>
          <w:rFonts w:asciiTheme="majorHAnsi" w:hAnsiTheme="majorHAnsi"/>
        </w:rPr>
        <w:t>’</w:t>
      </w:r>
      <w:r w:rsidR="000721FF" w:rsidRPr="009C0F5C">
        <w:rPr>
          <w:rFonts w:asciiTheme="majorHAnsi" w:hAnsiTheme="majorHAnsi"/>
        </w:rPr>
        <w:t>unité requérante</w:t>
      </w:r>
      <w:r w:rsidRPr="009C0F5C">
        <w:rPr>
          <w:rFonts w:asciiTheme="majorHAnsi" w:hAnsiTheme="majorHAnsi"/>
        </w:rPr>
        <w:t>, de l</w:t>
      </w:r>
      <w:r w:rsidR="001776DF" w:rsidRPr="009C0F5C">
        <w:rPr>
          <w:rFonts w:asciiTheme="majorHAnsi" w:hAnsiTheme="majorHAnsi"/>
        </w:rPr>
        <w:t>’</w:t>
      </w:r>
      <w:r w:rsidRPr="009C0F5C">
        <w:rPr>
          <w:rFonts w:asciiTheme="majorHAnsi" w:hAnsiTheme="majorHAnsi"/>
        </w:rPr>
        <w:t xml:space="preserve">utilisateur final et du fournisseur est constituée pour convenir des activités de gestion du marché, et se réunit régulièrement à une fréquence convenue, pour le suivi des activités de mise en œuvre et </w:t>
      </w:r>
      <w:r w:rsidR="002449E5" w:rsidRPr="009C0F5C">
        <w:rPr>
          <w:rFonts w:asciiTheme="majorHAnsi" w:hAnsiTheme="majorHAnsi"/>
        </w:rPr>
        <w:t>pour résoudre les</w:t>
      </w:r>
      <w:r w:rsidRPr="009C0F5C">
        <w:rPr>
          <w:rFonts w:asciiTheme="majorHAnsi" w:hAnsiTheme="majorHAnsi"/>
        </w:rPr>
        <w:t xml:space="preserve"> problèmes rencontrés </w:t>
      </w:r>
      <w:r w:rsidR="002449E5" w:rsidRPr="009C0F5C">
        <w:rPr>
          <w:rFonts w:asciiTheme="majorHAnsi" w:hAnsiTheme="majorHAnsi"/>
        </w:rPr>
        <w:t xml:space="preserve">lors de </w:t>
      </w:r>
      <w:r w:rsidRPr="009C0F5C">
        <w:rPr>
          <w:rFonts w:asciiTheme="majorHAnsi" w:hAnsiTheme="majorHAnsi"/>
        </w:rPr>
        <w:t>la période de mise en œuvre.</w:t>
      </w:r>
      <w:r w:rsidR="001776DF" w:rsidRPr="009C0F5C">
        <w:rPr>
          <w:rFonts w:asciiTheme="majorHAnsi" w:hAnsiTheme="majorHAnsi"/>
        </w:rPr>
        <w:t xml:space="preserve"> </w:t>
      </w:r>
      <w:r w:rsidRPr="009C0F5C">
        <w:rPr>
          <w:rFonts w:asciiTheme="majorHAnsi" w:hAnsiTheme="majorHAnsi"/>
        </w:rPr>
        <w:t>Les marchés complexes ou de montants élevés sont ceux d</w:t>
      </w:r>
      <w:r w:rsidR="001776DF" w:rsidRPr="009C0F5C">
        <w:rPr>
          <w:rFonts w:asciiTheme="majorHAnsi" w:hAnsiTheme="majorHAnsi"/>
        </w:rPr>
        <w:t>’</w:t>
      </w:r>
      <w:r w:rsidRPr="009C0F5C">
        <w:rPr>
          <w:rFonts w:asciiTheme="majorHAnsi" w:hAnsiTheme="majorHAnsi"/>
        </w:rPr>
        <w:t>un montant supérieur à 2</w:t>
      </w:r>
      <w:r w:rsidR="001776DF" w:rsidRPr="009C0F5C">
        <w:rPr>
          <w:rFonts w:asciiTheme="majorHAnsi" w:hAnsiTheme="majorHAnsi"/>
        </w:rPr>
        <w:t> </w:t>
      </w:r>
      <w:r w:rsidRPr="009C0F5C">
        <w:rPr>
          <w:rFonts w:asciiTheme="majorHAnsi" w:hAnsiTheme="majorHAnsi"/>
        </w:rPr>
        <w:t>millions de dollars</w:t>
      </w:r>
      <w:r w:rsidR="001776DF" w:rsidRPr="009C0F5C">
        <w:rPr>
          <w:rFonts w:asciiTheme="majorHAnsi" w:hAnsiTheme="majorHAnsi"/>
        </w:rPr>
        <w:t xml:space="preserve"> des États-Unis</w:t>
      </w:r>
      <w:r>
        <w:rPr>
          <w:rFonts w:asciiTheme="majorHAnsi" w:hAnsiTheme="majorHAnsi"/>
        </w:rPr>
        <w:t>.</w:t>
      </w:r>
    </w:p>
    <w:p w14:paraId="5FC101AE" w14:textId="77777777" w:rsidR="003F6739" w:rsidRPr="00623F2C" w:rsidRDefault="003F6739" w:rsidP="00A80A0C">
      <w:pPr>
        <w:rPr>
          <w:rFonts w:asciiTheme="majorHAnsi" w:eastAsiaTheme="minorEastAsia" w:hAnsiTheme="majorHAnsi" w:cs="Helvetica-Bold"/>
          <w:b/>
          <w:bCs/>
          <w:sz w:val="22"/>
          <w:szCs w:val="22"/>
        </w:rPr>
      </w:pPr>
    </w:p>
    <w:p w14:paraId="0A6A4961" w14:textId="77777777" w:rsidR="00791E3B" w:rsidRPr="00A80A0C" w:rsidRDefault="00724321" w:rsidP="00DB3D39">
      <w:pPr>
        <w:ind w:left="360" w:firstLine="360"/>
        <w:rPr>
          <w:rFonts w:asciiTheme="majorHAnsi" w:eastAsiaTheme="minorEastAsia" w:hAnsiTheme="majorHAnsi" w:cs="ITCGaramondStd-Bk"/>
          <w:b/>
          <w:sz w:val="22"/>
          <w:szCs w:val="22"/>
        </w:rPr>
      </w:pPr>
      <w:r>
        <w:rPr>
          <w:rFonts w:asciiTheme="majorHAnsi" w:hAnsiTheme="majorHAnsi"/>
          <w:b/>
          <w:sz w:val="22"/>
          <w:szCs w:val="22"/>
        </w:rPr>
        <w:t>Suivi des résultats</w:t>
      </w:r>
      <w:r w:rsidR="001776DF">
        <w:rPr>
          <w:rFonts w:asciiTheme="majorHAnsi" w:hAnsiTheme="majorHAnsi"/>
          <w:b/>
          <w:sz w:val="22"/>
          <w:szCs w:val="22"/>
        </w:rPr>
        <w:t> :</w:t>
      </w:r>
    </w:p>
    <w:p w14:paraId="2A8DC78F" w14:textId="77777777" w:rsidR="00F51817" w:rsidRPr="00A80A0C" w:rsidRDefault="00F51817" w:rsidP="00A80A0C">
      <w:pPr>
        <w:rPr>
          <w:rFonts w:asciiTheme="majorHAnsi" w:eastAsiaTheme="minorEastAsia" w:hAnsiTheme="majorHAnsi"/>
          <w:sz w:val="22"/>
          <w:szCs w:val="22"/>
        </w:rPr>
      </w:pPr>
    </w:p>
    <w:p w14:paraId="1C2D9111" w14:textId="2CB52C36" w:rsidR="00844BB8" w:rsidRPr="001B37EA" w:rsidRDefault="001E7CAB" w:rsidP="00DE6097">
      <w:pPr>
        <w:pStyle w:val="ListParagraph"/>
        <w:numPr>
          <w:ilvl w:val="0"/>
          <w:numId w:val="28"/>
        </w:numPr>
        <w:spacing w:line="240" w:lineRule="auto"/>
        <w:jc w:val="both"/>
        <w:rPr>
          <w:rFonts w:asciiTheme="majorHAnsi" w:hAnsiTheme="majorHAnsi" w:cs="Helvetica-Bold"/>
          <w:bCs/>
        </w:rPr>
      </w:pPr>
      <w:r>
        <w:rPr>
          <w:rFonts w:asciiTheme="majorHAnsi" w:hAnsiTheme="majorHAnsi"/>
        </w:rPr>
        <w:t>Les mesures de résultats déjà identifiées lors de la phase préalable à l</w:t>
      </w:r>
      <w:r w:rsidR="001776DF">
        <w:rPr>
          <w:rFonts w:asciiTheme="majorHAnsi" w:hAnsiTheme="majorHAnsi"/>
        </w:rPr>
        <w:t>’</w:t>
      </w:r>
      <w:r>
        <w:rPr>
          <w:rFonts w:asciiTheme="majorHAnsi" w:hAnsiTheme="majorHAnsi"/>
        </w:rPr>
        <w:t>attribution pour répondre aux exigences d</w:t>
      </w:r>
      <w:r w:rsidR="001776DF">
        <w:rPr>
          <w:rFonts w:asciiTheme="majorHAnsi" w:hAnsiTheme="majorHAnsi"/>
        </w:rPr>
        <w:t>’</w:t>
      </w:r>
      <w:r>
        <w:rPr>
          <w:rFonts w:asciiTheme="majorHAnsi" w:hAnsiTheme="majorHAnsi"/>
        </w:rPr>
        <w:t xml:space="preserve">un marché doivent être définies dans le </w:t>
      </w:r>
      <w:r w:rsidR="003815A0">
        <w:rPr>
          <w:rFonts w:asciiTheme="majorHAnsi" w:hAnsiTheme="majorHAnsi"/>
        </w:rPr>
        <w:t>contrat</w:t>
      </w:r>
      <w:r>
        <w:rPr>
          <w:rFonts w:asciiTheme="majorHAnsi" w:hAnsiTheme="majorHAnsi"/>
        </w:rPr>
        <w:t>. Elles doivent fournir une preuve claire et démontrable du succès (ou autre) des obligations contractuelles du fournisseur</w:t>
      </w:r>
      <w:r w:rsidR="001776DF">
        <w:rPr>
          <w:rFonts w:asciiTheme="majorHAnsi" w:hAnsiTheme="majorHAnsi"/>
        </w:rPr>
        <w:t> :</w:t>
      </w:r>
    </w:p>
    <w:p w14:paraId="1B230408" w14:textId="77777777" w:rsidR="00D20951" w:rsidRPr="00A80A0C" w:rsidRDefault="00D20951" w:rsidP="00DE6097">
      <w:pPr>
        <w:pStyle w:val="ListParagraph"/>
        <w:spacing w:line="240" w:lineRule="auto"/>
        <w:jc w:val="both"/>
        <w:rPr>
          <w:rFonts w:asciiTheme="majorHAnsi" w:hAnsiTheme="majorHAnsi" w:cs="Helvetica-Bold"/>
          <w:bCs/>
        </w:rPr>
      </w:pPr>
    </w:p>
    <w:p w14:paraId="295E6BFE" w14:textId="57915BE6" w:rsidR="00A15A70" w:rsidRPr="001B37EA" w:rsidRDefault="00E8188E" w:rsidP="00DE6097">
      <w:pPr>
        <w:pStyle w:val="ListParagraph"/>
        <w:numPr>
          <w:ilvl w:val="0"/>
          <w:numId w:val="28"/>
        </w:numPr>
        <w:jc w:val="both"/>
      </w:pPr>
      <w:r>
        <w:rPr>
          <w:rFonts w:asciiTheme="majorHAnsi" w:hAnsiTheme="majorHAnsi"/>
        </w:rPr>
        <w:t>L</w:t>
      </w:r>
      <w:r w:rsidR="001776DF">
        <w:rPr>
          <w:rFonts w:asciiTheme="majorHAnsi" w:hAnsiTheme="majorHAnsi"/>
        </w:rPr>
        <w:t>’</w:t>
      </w:r>
      <w:r w:rsidR="000721FF">
        <w:rPr>
          <w:rFonts w:asciiTheme="majorHAnsi" w:hAnsiTheme="majorHAnsi"/>
        </w:rPr>
        <w:t>unité requérante</w:t>
      </w:r>
      <w:r>
        <w:rPr>
          <w:rFonts w:asciiTheme="majorHAnsi" w:hAnsiTheme="majorHAnsi"/>
        </w:rPr>
        <w:t xml:space="preserve"> doit suivre les résultats du fournisseur pour s</w:t>
      </w:r>
      <w:r w:rsidR="001776DF">
        <w:rPr>
          <w:rFonts w:asciiTheme="majorHAnsi" w:hAnsiTheme="majorHAnsi"/>
        </w:rPr>
        <w:t>’</w:t>
      </w:r>
      <w:r>
        <w:rPr>
          <w:rFonts w:asciiTheme="majorHAnsi" w:hAnsiTheme="majorHAnsi"/>
        </w:rPr>
        <w:t xml:space="preserve">assurer que les </w:t>
      </w:r>
      <w:r w:rsidR="004B1025">
        <w:rPr>
          <w:rFonts w:asciiTheme="majorHAnsi" w:hAnsiTheme="majorHAnsi"/>
        </w:rPr>
        <w:t>biens, les</w:t>
      </w:r>
      <w:r>
        <w:rPr>
          <w:rFonts w:asciiTheme="majorHAnsi" w:hAnsiTheme="majorHAnsi"/>
        </w:rPr>
        <w:t xml:space="preserve"> services </w:t>
      </w:r>
      <w:r w:rsidR="006C4CE9">
        <w:rPr>
          <w:rFonts w:asciiTheme="majorHAnsi" w:hAnsiTheme="majorHAnsi"/>
        </w:rPr>
        <w:t xml:space="preserve">ou les </w:t>
      </w:r>
      <w:r w:rsidR="004B1025">
        <w:rPr>
          <w:rFonts w:asciiTheme="majorHAnsi" w:hAnsiTheme="majorHAnsi"/>
        </w:rPr>
        <w:t>travaux qui sont l’objet</w:t>
      </w:r>
      <w:r w:rsidR="006C4CE9">
        <w:rPr>
          <w:rFonts w:asciiTheme="majorHAnsi" w:hAnsiTheme="majorHAnsi"/>
        </w:rPr>
        <w:t xml:space="preserve"> du contrat </w:t>
      </w:r>
      <w:r>
        <w:rPr>
          <w:rFonts w:asciiTheme="majorHAnsi" w:hAnsiTheme="majorHAnsi"/>
        </w:rPr>
        <w:t xml:space="preserve">sont livrés conformément aux </w:t>
      </w:r>
      <w:r w:rsidR="002449E5">
        <w:rPr>
          <w:rFonts w:asciiTheme="majorHAnsi" w:hAnsiTheme="majorHAnsi"/>
        </w:rPr>
        <w:t xml:space="preserve">obligations contractuelles </w:t>
      </w:r>
      <w:r>
        <w:rPr>
          <w:rFonts w:asciiTheme="majorHAnsi" w:hAnsiTheme="majorHAnsi"/>
        </w:rPr>
        <w:t>convenu</w:t>
      </w:r>
      <w:r w:rsidR="002449E5">
        <w:rPr>
          <w:rFonts w:asciiTheme="majorHAnsi" w:hAnsiTheme="majorHAnsi"/>
        </w:rPr>
        <w:t>e</w:t>
      </w:r>
      <w:r>
        <w:rPr>
          <w:rFonts w:asciiTheme="majorHAnsi" w:hAnsiTheme="majorHAnsi"/>
        </w:rPr>
        <w:t xml:space="preserve">s, aux niveaux de qualité et au prix fixés dans le </w:t>
      </w:r>
      <w:r w:rsidR="006C4CE9">
        <w:rPr>
          <w:rFonts w:asciiTheme="majorHAnsi" w:hAnsiTheme="majorHAnsi"/>
        </w:rPr>
        <w:t>contrat</w:t>
      </w:r>
      <w:r>
        <w:rPr>
          <w:rFonts w:asciiTheme="majorHAnsi" w:hAnsiTheme="majorHAnsi"/>
        </w:rPr>
        <w:t>. Les thèmes suivants peuvent être utilisés pour mesurer les résultats du fournisseur, le cas échéant</w:t>
      </w:r>
      <w:r w:rsidR="001776DF">
        <w:rPr>
          <w:rFonts w:asciiTheme="majorHAnsi" w:hAnsiTheme="majorHAnsi"/>
        </w:rPr>
        <w:t> :</w:t>
      </w:r>
    </w:p>
    <w:p w14:paraId="2661B4E2" w14:textId="77777777" w:rsidR="00E8188E" w:rsidRPr="00A80A0C" w:rsidRDefault="00E8188E" w:rsidP="00A80A0C">
      <w:pPr>
        <w:pStyle w:val="ListParagraph"/>
        <w:autoSpaceDE w:val="0"/>
        <w:autoSpaceDN w:val="0"/>
        <w:adjustRightInd w:val="0"/>
        <w:spacing w:line="240" w:lineRule="auto"/>
        <w:jc w:val="both"/>
        <w:rPr>
          <w:rFonts w:asciiTheme="majorHAnsi" w:hAnsiTheme="majorHAnsi"/>
        </w:rPr>
      </w:pPr>
    </w:p>
    <w:p w14:paraId="0D651221" w14:textId="77777777" w:rsidR="001A2538" w:rsidRDefault="008410FA" w:rsidP="00A80A0C">
      <w:pPr>
        <w:pStyle w:val="ListParagraph"/>
        <w:numPr>
          <w:ilvl w:val="0"/>
          <w:numId w:val="1"/>
        </w:numPr>
        <w:autoSpaceDE w:val="0"/>
        <w:autoSpaceDN w:val="0"/>
        <w:adjustRightInd w:val="0"/>
        <w:spacing w:line="240" w:lineRule="auto"/>
        <w:ind w:left="2160"/>
        <w:jc w:val="both"/>
        <w:rPr>
          <w:rFonts w:asciiTheme="majorHAnsi" w:hAnsiTheme="majorHAnsi" w:cs="ITCGaramondStd-Bk"/>
        </w:rPr>
      </w:pPr>
      <w:r>
        <w:rPr>
          <w:rFonts w:asciiTheme="majorHAnsi" w:hAnsiTheme="majorHAnsi"/>
        </w:rPr>
        <w:t>Financier - tous les coûts doivent être maintenus au montant contractuel ou réduits.</w:t>
      </w:r>
    </w:p>
    <w:p w14:paraId="79752F29" w14:textId="77777777" w:rsidR="00566A3B" w:rsidRPr="00623F2C" w:rsidRDefault="00566A3B" w:rsidP="00A80A0C">
      <w:pPr>
        <w:pStyle w:val="ListParagraph"/>
        <w:autoSpaceDE w:val="0"/>
        <w:autoSpaceDN w:val="0"/>
        <w:adjustRightInd w:val="0"/>
        <w:spacing w:line="240" w:lineRule="auto"/>
        <w:ind w:left="2160"/>
        <w:jc w:val="both"/>
        <w:rPr>
          <w:rFonts w:asciiTheme="majorHAnsi" w:hAnsiTheme="majorHAnsi" w:cs="ITCGaramondStd-Bk"/>
        </w:rPr>
      </w:pPr>
    </w:p>
    <w:p w14:paraId="1F9F3A6C" w14:textId="77777777" w:rsidR="001A2538" w:rsidRPr="00E40430" w:rsidRDefault="001A2538" w:rsidP="00DE6097">
      <w:pPr>
        <w:pStyle w:val="ListParagraph"/>
        <w:numPr>
          <w:ilvl w:val="0"/>
          <w:numId w:val="1"/>
        </w:numPr>
        <w:autoSpaceDE w:val="0"/>
        <w:autoSpaceDN w:val="0"/>
        <w:adjustRightInd w:val="0"/>
        <w:spacing w:line="240" w:lineRule="auto"/>
        <w:ind w:left="2160"/>
        <w:jc w:val="both"/>
        <w:rPr>
          <w:rFonts w:asciiTheme="majorHAnsi" w:hAnsiTheme="majorHAnsi" w:cs="ITCGaramondStd-Bk"/>
        </w:rPr>
      </w:pPr>
      <w:r w:rsidRPr="00E40430">
        <w:rPr>
          <w:rFonts w:asciiTheme="majorHAnsi" w:hAnsiTheme="majorHAnsi"/>
        </w:rPr>
        <w:t xml:space="preserve">Capacité de livraison - le fournisseur doit </w:t>
      </w:r>
      <w:r w:rsidR="002449E5" w:rsidRPr="00E40430">
        <w:rPr>
          <w:rFonts w:asciiTheme="majorHAnsi" w:hAnsiTheme="majorHAnsi"/>
        </w:rPr>
        <w:t xml:space="preserve">bel et bien </w:t>
      </w:r>
      <w:r w:rsidRPr="00E93193">
        <w:rPr>
          <w:rFonts w:asciiTheme="majorHAnsi" w:hAnsiTheme="majorHAnsi"/>
        </w:rPr>
        <w:t xml:space="preserve">être en mesure de livrer </w:t>
      </w:r>
      <w:r w:rsidR="0062370B" w:rsidRPr="002275F1">
        <w:rPr>
          <w:rFonts w:asciiTheme="majorHAnsi" w:hAnsiTheme="majorHAnsi"/>
        </w:rPr>
        <w:t>dans le cadre du</w:t>
      </w:r>
      <w:r w:rsidRPr="005F371E">
        <w:rPr>
          <w:rFonts w:asciiTheme="majorHAnsi" w:hAnsiTheme="majorHAnsi"/>
        </w:rPr>
        <w:t xml:space="preserve"> marché.</w:t>
      </w:r>
    </w:p>
    <w:p w14:paraId="3A9104E5" w14:textId="77777777" w:rsidR="00566A3B" w:rsidRPr="00E40430" w:rsidRDefault="00566A3B" w:rsidP="00DE6097">
      <w:pPr>
        <w:pStyle w:val="ListParagraph"/>
        <w:autoSpaceDE w:val="0"/>
        <w:autoSpaceDN w:val="0"/>
        <w:adjustRightInd w:val="0"/>
        <w:spacing w:line="240" w:lineRule="auto"/>
        <w:ind w:left="2160"/>
        <w:jc w:val="both"/>
        <w:rPr>
          <w:rFonts w:asciiTheme="majorHAnsi" w:hAnsiTheme="majorHAnsi" w:cs="ITCGaramondStd-Bk"/>
        </w:rPr>
      </w:pPr>
    </w:p>
    <w:p w14:paraId="68759FDA" w14:textId="77777777" w:rsidR="001A2538" w:rsidRPr="00E40430" w:rsidRDefault="001A2538" w:rsidP="00DE6097">
      <w:pPr>
        <w:pStyle w:val="ListParagraph"/>
        <w:numPr>
          <w:ilvl w:val="0"/>
          <w:numId w:val="1"/>
        </w:numPr>
        <w:autoSpaceDE w:val="0"/>
        <w:autoSpaceDN w:val="0"/>
        <w:adjustRightInd w:val="0"/>
        <w:spacing w:line="240" w:lineRule="auto"/>
        <w:ind w:left="2160"/>
        <w:jc w:val="both"/>
        <w:rPr>
          <w:rFonts w:asciiTheme="majorHAnsi" w:hAnsiTheme="majorHAnsi" w:cs="ITCGaramondStd-Bk"/>
        </w:rPr>
      </w:pPr>
      <w:r w:rsidRPr="00E40430">
        <w:rPr>
          <w:rFonts w:asciiTheme="majorHAnsi" w:hAnsiTheme="majorHAnsi"/>
        </w:rPr>
        <w:t>Prestations réalisées</w:t>
      </w:r>
      <w:r w:rsidR="00056132" w:rsidRPr="00E40430">
        <w:rPr>
          <w:rFonts w:asciiTheme="majorHAnsi" w:hAnsiTheme="majorHAnsi"/>
        </w:rPr>
        <w:t xml:space="preserve"> </w:t>
      </w:r>
      <w:r w:rsidRPr="00E40430">
        <w:rPr>
          <w:rFonts w:asciiTheme="majorHAnsi" w:hAnsiTheme="majorHAnsi"/>
        </w:rPr>
        <w:t>- les besoins et les objectifs du marché doivent être atteints</w:t>
      </w:r>
    </w:p>
    <w:p w14:paraId="03826629" w14:textId="77777777" w:rsidR="00566A3B" w:rsidRPr="00E40430" w:rsidRDefault="00566A3B" w:rsidP="00DE6097">
      <w:pPr>
        <w:pStyle w:val="ListParagraph"/>
        <w:autoSpaceDE w:val="0"/>
        <w:autoSpaceDN w:val="0"/>
        <w:adjustRightInd w:val="0"/>
        <w:spacing w:line="240" w:lineRule="auto"/>
        <w:ind w:left="2160"/>
        <w:jc w:val="both"/>
        <w:rPr>
          <w:rFonts w:asciiTheme="majorHAnsi" w:hAnsiTheme="majorHAnsi" w:cs="ITCGaramondStd-Bk"/>
        </w:rPr>
      </w:pPr>
    </w:p>
    <w:p w14:paraId="3C95DEF4" w14:textId="77777777" w:rsidR="001A2538" w:rsidRPr="00E40430" w:rsidRDefault="001A2538" w:rsidP="00DE6097">
      <w:pPr>
        <w:pStyle w:val="ListParagraph"/>
        <w:numPr>
          <w:ilvl w:val="0"/>
          <w:numId w:val="1"/>
        </w:numPr>
        <w:autoSpaceDE w:val="0"/>
        <w:autoSpaceDN w:val="0"/>
        <w:adjustRightInd w:val="0"/>
        <w:spacing w:line="240" w:lineRule="auto"/>
        <w:ind w:left="2160"/>
        <w:jc w:val="both"/>
        <w:rPr>
          <w:rFonts w:asciiTheme="majorHAnsi" w:hAnsiTheme="majorHAnsi" w:cs="ITCGaramondStd-Bk"/>
        </w:rPr>
      </w:pPr>
      <w:r w:rsidRPr="00E40430">
        <w:rPr>
          <w:rFonts w:asciiTheme="majorHAnsi" w:hAnsiTheme="majorHAnsi"/>
        </w:rPr>
        <w:t>La qualité de service selon l</w:t>
      </w:r>
      <w:r w:rsidR="001776DF" w:rsidRPr="00E40430">
        <w:rPr>
          <w:rFonts w:asciiTheme="majorHAnsi" w:hAnsiTheme="majorHAnsi"/>
        </w:rPr>
        <w:t>’</w:t>
      </w:r>
      <w:r w:rsidRPr="00E40430">
        <w:rPr>
          <w:rFonts w:asciiTheme="majorHAnsi" w:hAnsiTheme="majorHAnsi"/>
        </w:rPr>
        <w:t xml:space="preserve">accord de prestation de services le cas échéant, </w:t>
      </w:r>
      <w:r w:rsidR="006F14F2" w:rsidRPr="00E40430">
        <w:rPr>
          <w:rFonts w:asciiTheme="majorHAnsi" w:hAnsiTheme="majorHAnsi"/>
        </w:rPr>
        <w:t>relative, entre autres,</w:t>
      </w:r>
      <w:r w:rsidRPr="00E40430">
        <w:rPr>
          <w:rFonts w:asciiTheme="majorHAnsi" w:hAnsiTheme="majorHAnsi"/>
        </w:rPr>
        <w:t xml:space="preserve"> </w:t>
      </w:r>
      <w:r w:rsidR="006F14F2" w:rsidRPr="00E40430">
        <w:rPr>
          <w:rFonts w:asciiTheme="majorHAnsi" w:hAnsiTheme="majorHAnsi"/>
        </w:rPr>
        <w:t>au</w:t>
      </w:r>
      <w:r w:rsidRPr="00E40430">
        <w:rPr>
          <w:rFonts w:asciiTheme="majorHAnsi" w:hAnsiTheme="majorHAnsi"/>
        </w:rPr>
        <w:t xml:space="preserve"> </w:t>
      </w:r>
      <w:r w:rsidR="0062370B" w:rsidRPr="00E40430">
        <w:rPr>
          <w:rFonts w:asciiTheme="majorHAnsi" w:hAnsiTheme="majorHAnsi"/>
        </w:rPr>
        <w:t>temps d’intervention</w:t>
      </w:r>
      <w:r w:rsidRPr="00E40430">
        <w:rPr>
          <w:rFonts w:asciiTheme="majorHAnsi" w:hAnsiTheme="majorHAnsi"/>
        </w:rPr>
        <w:t xml:space="preserve">, </w:t>
      </w:r>
      <w:r w:rsidR="006F14F2" w:rsidRPr="00E40430">
        <w:rPr>
          <w:rFonts w:asciiTheme="majorHAnsi" w:hAnsiTheme="majorHAnsi"/>
        </w:rPr>
        <w:t>au</w:t>
      </w:r>
      <w:r w:rsidRPr="00E40430">
        <w:rPr>
          <w:rFonts w:asciiTheme="majorHAnsi" w:hAnsiTheme="majorHAnsi"/>
        </w:rPr>
        <w:t xml:space="preserve"> temps de réponse du service client</w:t>
      </w:r>
      <w:r w:rsidR="006F14F2" w:rsidRPr="00E40430">
        <w:rPr>
          <w:rFonts w:asciiTheme="majorHAnsi" w:hAnsiTheme="majorHAnsi"/>
        </w:rPr>
        <w:t xml:space="preserve"> et</w:t>
      </w:r>
      <w:r w:rsidRPr="00E40430">
        <w:rPr>
          <w:rFonts w:asciiTheme="majorHAnsi" w:hAnsiTheme="majorHAnsi"/>
        </w:rPr>
        <w:t xml:space="preserve"> </w:t>
      </w:r>
      <w:r w:rsidR="006F14F2" w:rsidRPr="00E40430">
        <w:rPr>
          <w:rFonts w:asciiTheme="majorHAnsi" w:hAnsiTheme="majorHAnsi"/>
        </w:rPr>
        <w:t>aux</w:t>
      </w:r>
      <w:r w:rsidRPr="00E40430">
        <w:rPr>
          <w:rFonts w:asciiTheme="majorHAnsi" w:hAnsiTheme="majorHAnsi"/>
        </w:rPr>
        <w:t xml:space="preserve"> résultats par rapport aux délais de livraison convenus, doit être conforme au marché.</w:t>
      </w:r>
    </w:p>
    <w:p w14:paraId="5C9708FC" w14:textId="77777777" w:rsidR="00566A3B" w:rsidRPr="00E40430" w:rsidRDefault="00566A3B" w:rsidP="00DE6097">
      <w:pPr>
        <w:pStyle w:val="ListParagraph"/>
        <w:autoSpaceDE w:val="0"/>
        <w:autoSpaceDN w:val="0"/>
        <w:adjustRightInd w:val="0"/>
        <w:spacing w:line="240" w:lineRule="auto"/>
        <w:ind w:left="2160"/>
        <w:jc w:val="both"/>
        <w:rPr>
          <w:rFonts w:asciiTheme="majorHAnsi" w:hAnsiTheme="majorHAnsi" w:cs="ITCGaramondStd-Bk"/>
        </w:rPr>
      </w:pPr>
    </w:p>
    <w:p w14:paraId="29409D4A" w14:textId="77777777" w:rsidR="001A2538" w:rsidRPr="00E40430" w:rsidRDefault="001A2538" w:rsidP="00DE6097">
      <w:pPr>
        <w:pStyle w:val="ListParagraph"/>
        <w:numPr>
          <w:ilvl w:val="0"/>
          <w:numId w:val="1"/>
        </w:numPr>
        <w:autoSpaceDE w:val="0"/>
        <w:autoSpaceDN w:val="0"/>
        <w:adjustRightInd w:val="0"/>
        <w:spacing w:line="240" w:lineRule="auto"/>
        <w:ind w:left="2160"/>
        <w:jc w:val="both"/>
        <w:rPr>
          <w:rFonts w:asciiTheme="majorHAnsi" w:hAnsiTheme="majorHAnsi" w:cs="ITCGaramondStd-Bk"/>
        </w:rPr>
      </w:pPr>
      <w:r w:rsidRPr="00E40430">
        <w:rPr>
          <w:rFonts w:asciiTheme="majorHAnsi" w:hAnsiTheme="majorHAnsi"/>
        </w:rPr>
        <w:t>Qualité du produit - le pourcentage de rejets de livraison</w:t>
      </w:r>
      <w:r w:rsidR="00464575" w:rsidRPr="00E40430">
        <w:rPr>
          <w:rFonts w:asciiTheme="majorHAnsi" w:hAnsiTheme="majorHAnsi"/>
        </w:rPr>
        <w:t xml:space="preserve"> et</w:t>
      </w:r>
      <w:r w:rsidRPr="00E40430">
        <w:rPr>
          <w:rFonts w:asciiTheme="majorHAnsi" w:hAnsiTheme="majorHAnsi"/>
        </w:rPr>
        <w:t xml:space="preserve"> les réclamations de garantie doivent être conformes au marché.</w:t>
      </w:r>
    </w:p>
    <w:p w14:paraId="2EDEEF62" w14:textId="77777777" w:rsidR="00566A3B" w:rsidRPr="00E40430" w:rsidRDefault="00566A3B" w:rsidP="00DE6097">
      <w:pPr>
        <w:pStyle w:val="ListParagraph"/>
        <w:spacing w:line="240" w:lineRule="auto"/>
        <w:ind w:left="2160"/>
        <w:jc w:val="both"/>
        <w:rPr>
          <w:rFonts w:asciiTheme="majorHAnsi" w:hAnsiTheme="majorHAnsi" w:cs="ITCGaramondStd-Bk"/>
        </w:rPr>
      </w:pPr>
    </w:p>
    <w:p w14:paraId="399251BA" w14:textId="10C8FB6A" w:rsidR="00711E60" w:rsidRPr="00E40430" w:rsidRDefault="001A2538" w:rsidP="00DE6097">
      <w:pPr>
        <w:pStyle w:val="ListParagraph"/>
        <w:numPr>
          <w:ilvl w:val="0"/>
          <w:numId w:val="1"/>
        </w:numPr>
        <w:spacing w:line="240" w:lineRule="auto"/>
        <w:ind w:left="2160"/>
        <w:jc w:val="both"/>
        <w:rPr>
          <w:rFonts w:asciiTheme="majorHAnsi" w:hAnsiTheme="majorHAnsi" w:cs="ITCGaramondStd-Bk"/>
        </w:rPr>
      </w:pPr>
      <w:r w:rsidRPr="00E40430">
        <w:rPr>
          <w:rFonts w:asciiTheme="majorHAnsi" w:hAnsiTheme="majorHAnsi"/>
        </w:rPr>
        <w:t>L</w:t>
      </w:r>
      <w:r w:rsidR="001776DF" w:rsidRPr="00E40430">
        <w:rPr>
          <w:rFonts w:asciiTheme="majorHAnsi" w:hAnsiTheme="majorHAnsi"/>
        </w:rPr>
        <w:t>’</w:t>
      </w:r>
      <w:r w:rsidRPr="00E40430">
        <w:rPr>
          <w:rFonts w:asciiTheme="majorHAnsi" w:hAnsiTheme="majorHAnsi"/>
        </w:rPr>
        <w:t>accessibilité et la réactivité du fournisseur aux demandes, observations et retours d</w:t>
      </w:r>
      <w:r w:rsidR="001776DF" w:rsidRPr="00E40430">
        <w:rPr>
          <w:rFonts w:asciiTheme="majorHAnsi" w:hAnsiTheme="majorHAnsi"/>
        </w:rPr>
        <w:t>’</w:t>
      </w:r>
      <w:r w:rsidRPr="00E40430">
        <w:rPr>
          <w:rFonts w:asciiTheme="majorHAnsi" w:hAnsiTheme="majorHAnsi"/>
        </w:rPr>
        <w:t>informations de l</w:t>
      </w:r>
      <w:r w:rsidR="001776DF" w:rsidRPr="00E40430">
        <w:rPr>
          <w:rFonts w:asciiTheme="majorHAnsi" w:hAnsiTheme="majorHAnsi"/>
        </w:rPr>
        <w:t>’</w:t>
      </w:r>
      <w:r w:rsidRPr="00E40430">
        <w:rPr>
          <w:rFonts w:asciiTheme="majorHAnsi" w:hAnsiTheme="majorHAnsi"/>
        </w:rPr>
        <w:t xml:space="preserve">unité </w:t>
      </w:r>
      <w:r w:rsidR="008E453A" w:rsidRPr="00E40430">
        <w:rPr>
          <w:rFonts w:asciiTheme="majorHAnsi" w:hAnsiTheme="majorHAnsi"/>
        </w:rPr>
        <w:t xml:space="preserve">en charge de la passation des marchés </w:t>
      </w:r>
      <w:r w:rsidR="003D0D68" w:rsidRPr="00E40430">
        <w:rPr>
          <w:rFonts w:asciiTheme="majorHAnsi" w:hAnsiTheme="majorHAnsi"/>
        </w:rPr>
        <w:t xml:space="preserve">relatives au </w:t>
      </w:r>
      <w:r w:rsidR="008E453A" w:rsidRPr="00E40430">
        <w:rPr>
          <w:rFonts w:asciiTheme="majorHAnsi" w:hAnsiTheme="majorHAnsi"/>
        </w:rPr>
        <w:t xml:space="preserve">contrat </w:t>
      </w:r>
      <w:r w:rsidRPr="00E40430">
        <w:rPr>
          <w:rFonts w:asciiTheme="majorHAnsi" w:hAnsiTheme="majorHAnsi"/>
        </w:rPr>
        <w:t>doivent être vérifiées et contrôlées.</w:t>
      </w:r>
    </w:p>
    <w:p w14:paraId="3D561F37" w14:textId="77777777" w:rsidR="00711E60" w:rsidRPr="00623F2C" w:rsidRDefault="00711E60" w:rsidP="00A80A0C">
      <w:pPr>
        <w:pStyle w:val="ListParagraph"/>
        <w:spacing w:line="240" w:lineRule="auto"/>
        <w:ind w:left="1080"/>
        <w:rPr>
          <w:rFonts w:asciiTheme="majorHAnsi" w:hAnsiTheme="majorHAnsi" w:cs="ITCGaramondStd-Bk"/>
        </w:rPr>
      </w:pPr>
    </w:p>
    <w:p w14:paraId="121A5D73" w14:textId="77777777" w:rsidR="00F7445F" w:rsidRDefault="00F7445F">
      <w:pPr>
        <w:rPr>
          <w:rFonts w:asciiTheme="majorHAnsi" w:eastAsiaTheme="minorEastAsia" w:hAnsiTheme="majorHAnsi" w:cstheme="minorBidi"/>
          <w:b/>
          <w:sz w:val="22"/>
          <w:szCs w:val="22"/>
        </w:rPr>
      </w:pPr>
      <w:r>
        <w:rPr>
          <w:rFonts w:asciiTheme="majorHAnsi" w:hAnsiTheme="majorHAnsi"/>
          <w:b/>
        </w:rPr>
        <w:br w:type="page"/>
      </w:r>
    </w:p>
    <w:p w14:paraId="2BF8683C" w14:textId="1D48EF8B" w:rsidR="000E046A" w:rsidRPr="00623F2C" w:rsidRDefault="00FA05B0" w:rsidP="00A80A0C">
      <w:pPr>
        <w:pStyle w:val="ListParagraph"/>
        <w:spacing w:line="240" w:lineRule="auto"/>
        <w:rPr>
          <w:rFonts w:asciiTheme="majorHAnsi" w:hAnsiTheme="majorHAnsi"/>
          <w:b/>
        </w:rPr>
      </w:pPr>
      <w:r>
        <w:rPr>
          <w:rFonts w:asciiTheme="majorHAnsi" w:hAnsiTheme="majorHAnsi"/>
          <w:b/>
        </w:rPr>
        <w:lastRenderedPageBreak/>
        <w:t>Gérer les mauvais résultats</w:t>
      </w:r>
    </w:p>
    <w:p w14:paraId="73C384CF" w14:textId="77777777" w:rsidR="00A15A70" w:rsidRPr="00A80A0C" w:rsidRDefault="00A15A70" w:rsidP="00A80A0C">
      <w:pPr>
        <w:pStyle w:val="ListParagraph"/>
        <w:spacing w:line="240" w:lineRule="auto"/>
        <w:rPr>
          <w:rFonts w:asciiTheme="majorHAnsi" w:hAnsiTheme="majorHAnsi" w:cs="ITCGaramondStd-Bk"/>
        </w:rPr>
      </w:pPr>
    </w:p>
    <w:p w14:paraId="2ECAF030" w14:textId="75633BC2" w:rsidR="00213CA0" w:rsidRDefault="00E52785" w:rsidP="00DE6097">
      <w:pPr>
        <w:pStyle w:val="ListParagraph"/>
        <w:numPr>
          <w:ilvl w:val="0"/>
          <w:numId w:val="28"/>
        </w:numPr>
        <w:spacing w:line="240" w:lineRule="auto"/>
        <w:ind w:left="1080"/>
        <w:jc w:val="both"/>
        <w:rPr>
          <w:rFonts w:asciiTheme="majorHAnsi" w:hAnsiTheme="majorHAnsi" w:cs="Helvetica-Bold"/>
          <w:bCs/>
        </w:rPr>
      </w:pPr>
      <w:r>
        <w:rPr>
          <w:rFonts w:asciiTheme="majorHAnsi" w:hAnsiTheme="majorHAnsi"/>
          <w:bCs/>
        </w:rPr>
        <w:t>Lorsque les résultats obtenus ne satisfont pas aux normes de performance convenues, l</w:t>
      </w:r>
      <w:r w:rsidR="001776DF">
        <w:rPr>
          <w:rFonts w:asciiTheme="majorHAnsi" w:hAnsiTheme="majorHAnsi"/>
          <w:bCs/>
        </w:rPr>
        <w:t>’</w:t>
      </w:r>
      <w:r w:rsidR="000721FF">
        <w:rPr>
          <w:rFonts w:asciiTheme="majorHAnsi" w:hAnsiTheme="majorHAnsi"/>
          <w:bCs/>
        </w:rPr>
        <w:t>unité requérante</w:t>
      </w:r>
      <w:r>
        <w:rPr>
          <w:rFonts w:asciiTheme="majorHAnsi" w:hAnsiTheme="majorHAnsi"/>
          <w:bCs/>
        </w:rPr>
        <w:t xml:space="preserve"> vérifie si la situation s</w:t>
      </w:r>
      <w:r w:rsidR="001776DF">
        <w:rPr>
          <w:rFonts w:asciiTheme="majorHAnsi" w:hAnsiTheme="majorHAnsi"/>
          <w:bCs/>
        </w:rPr>
        <w:t>’</w:t>
      </w:r>
      <w:r>
        <w:rPr>
          <w:rFonts w:asciiTheme="majorHAnsi" w:hAnsiTheme="majorHAnsi"/>
          <w:bCs/>
        </w:rPr>
        <w:t>est produite en raison d</w:t>
      </w:r>
      <w:r w:rsidR="001776DF">
        <w:rPr>
          <w:rFonts w:asciiTheme="majorHAnsi" w:hAnsiTheme="majorHAnsi"/>
          <w:bCs/>
        </w:rPr>
        <w:t>’</w:t>
      </w:r>
      <w:r>
        <w:rPr>
          <w:rFonts w:asciiTheme="majorHAnsi" w:hAnsiTheme="majorHAnsi"/>
          <w:bCs/>
        </w:rPr>
        <w:t xml:space="preserve">une défaillance du PNUD ou de ses partenaires de réalisation, </w:t>
      </w:r>
      <w:r w:rsidR="00845CAB">
        <w:rPr>
          <w:rFonts w:asciiTheme="majorHAnsi" w:hAnsiTheme="majorHAnsi"/>
          <w:bCs/>
        </w:rPr>
        <w:t xml:space="preserve">tels </w:t>
      </w:r>
      <w:r w:rsidR="003D0D68">
        <w:rPr>
          <w:rFonts w:asciiTheme="majorHAnsi" w:hAnsiTheme="majorHAnsi"/>
          <w:bCs/>
        </w:rPr>
        <w:t xml:space="preserve">que </w:t>
      </w:r>
      <w:r>
        <w:rPr>
          <w:rFonts w:asciiTheme="majorHAnsi" w:hAnsiTheme="majorHAnsi"/>
          <w:bCs/>
        </w:rPr>
        <w:t>des retards de paiement, des aspects imprécis dans les spécifications, un soutien logistique inadéquat et d</w:t>
      </w:r>
      <w:r w:rsidR="001776DF">
        <w:rPr>
          <w:rFonts w:asciiTheme="majorHAnsi" w:hAnsiTheme="majorHAnsi"/>
          <w:bCs/>
        </w:rPr>
        <w:t>’</w:t>
      </w:r>
      <w:r>
        <w:rPr>
          <w:rFonts w:asciiTheme="majorHAnsi" w:hAnsiTheme="majorHAnsi"/>
          <w:bCs/>
        </w:rPr>
        <w:t>autres causes possibles. Si les mauvais résultats ne sont pas imputable</w:t>
      </w:r>
      <w:r w:rsidR="00BC5C97">
        <w:rPr>
          <w:rFonts w:asciiTheme="majorHAnsi" w:hAnsiTheme="majorHAnsi"/>
          <w:bCs/>
        </w:rPr>
        <w:t>s</w:t>
      </w:r>
      <w:r>
        <w:rPr>
          <w:rFonts w:asciiTheme="majorHAnsi" w:hAnsiTheme="majorHAnsi"/>
          <w:bCs/>
        </w:rPr>
        <w:t xml:space="preserve"> au fournisseur, l</w:t>
      </w:r>
      <w:r w:rsidR="001776DF">
        <w:rPr>
          <w:rFonts w:asciiTheme="majorHAnsi" w:hAnsiTheme="majorHAnsi"/>
          <w:bCs/>
        </w:rPr>
        <w:t>’</w:t>
      </w:r>
      <w:r w:rsidR="000721FF">
        <w:rPr>
          <w:rFonts w:asciiTheme="majorHAnsi" w:hAnsiTheme="majorHAnsi"/>
          <w:bCs/>
        </w:rPr>
        <w:t>unité requérante</w:t>
      </w:r>
      <w:r>
        <w:rPr>
          <w:rFonts w:asciiTheme="majorHAnsi" w:hAnsiTheme="majorHAnsi"/>
          <w:bCs/>
        </w:rPr>
        <w:t xml:space="preserve"> doit prendre les mesures correctives nécessaires, y compris </w:t>
      </w:r>
      <w:r w:rsidR="003D0D68">
        <w:rPr>
          <w:rFonts w:asciiTheme="majorHAnsi" w:hAnsiTheme="majorHAnsi"/>
          <w:bCs/>
        </w:rPr>
        <w:t xml:space="preserve">en intervenant </w:t>
      </w:r>
      <w:r>
        <w:rPr>
          <w:rFonts w:asciiTheme="majorHAnsi" w:hAnsiTheme="majorHAnsi"/>
          <w:bCs/>
        </w:rPr>
        <w:t>auprès d</w:t>
      </w:r>
      <w:r w:rsidR="001776DF">
        <w:rPr>
          <w:rFonts w:asciiTheme="majorHAnsi" w:hAnsiTheme="majorHAnsi"/>
          <w:bCs/>
        </w:rPr>
        <w:t>’</w:t>
      </w:r>
      <w:r>
        <w:rPr>
          <w:rFonts w:asciiTheme="majorHAnsi" w:hAnsiTheme="majorHAnsi"/>
          <w:bCs/>
        </w:rPr>
        <w:t>autres entités tierces susceptibles d</w:t>
      </w:r>
      <w:r w:rsidR="001776DF">
        <w:rPr>
          <w:rFonts w:asciiTheme="majorHAnsi" w:hAnsiTheme="majorHAnsi"/>
          <w:bCs/>
        </w:rPr>
        <w:t>’</w:t>
      </w:r>
      <w:r>
        <w:rPr>
          <w:rFonts w:asciiTheme="majorHAnsi" w:hAnsiTheme="majorHAnsi"/>
          <w:bCs/>
        </w:rPr>
        <w:t>être à l</w:t>
      </w:r>
      <w:r w:rsidR="001776DF">
        <w:rPr>
          <w:rFonts w:asciiTheme="majorHAnsi" w:hAnsiTheme="majorHAnsi"/>
          <w:bCs/>
        </w:rPr>
        <w:t>’</w:t>
      </w:r>
      <w:r>
        <w:rPr>
          <w:rFonts w:asciiTheme="majorHAnsi" w:hAnsiTheme="majorHAnsi"/>
          <w:bCs/>
        </w:rPr>
        <w:t>origine des problèmes de mise en œuvre du marché.</w:t>
      </w:r>
    </w:p>
    <w:p w14:paraId="3A6D25FF" w14:textId="77777777" w:rsidR="0094149F" w:rsidRPr="001B37EA" w:rsidRDefault="0094149F" w:rsidP="00DE6097">
      <w:pPr>
        <w:pStyle w:val="ListParagraph"/>
        <w:spacing w:line="240" w:lineRule="auto"/>
        <w:ind w:left="1080" w:hanging="360"/>
        <w:jc w:val="both"/>
        <w:rPr>
          <w:rFonts w:asciiTheme="majorHAnsi" w:hAnsiTheme="majorHAnsi" w:cs="Helvetica-Bold"/>
          <w:bCs/>
        </w:rPr>
      </w:pPr>
    </w:p>
    <w:p w14:paraId="08578932" w14:textId="77777777" w:rsidR="0045061F" w:rsidRPr="00A80A0C" w:rsidRDefault="00DF095F" w:rsidP="00DE6097">
      <w:pPr>
        <w:pStyle w:val="ListParagraph"/>
        <w:numPr>
          <w:ilvl w:val="0"/>
          <w:numId w:val="28"/>
        </w:numPr>
        <w:spacing w:line="240" w:lineRule="auto"/>
        <w:ind w:left="1080"/>
        <w:jc w:val="both"/>
        <w:rPr>
          <w:rFonts w:asciiTheme="majorHAnsi" w:hAnsiTheme="majorHAnsi"/>
        </w:rPr>
      </w:pPr>
      <w:r>
        <w:rPr>
          <w:rFonts w:asciiTheme="majorHAnsi" w:hAnsiTheme="majorHAnsi"/>
        </w:rPr>
        <w:t xml:space="preserve">Lorsque les mauvais résultats sont dus à des actions, omissions ou erreurs imputables au fournisseur, </w:t>
      </w:r>
      <w:r w:rsidR="005C70DF">
        <w:rPr>
          <w:rFonts w:asciiTheme="majorHAnsi" w:hAnsiTheme="majorHAnsi"/>
        </w:rPr>
        <w:t>l’</w:t>
      </w:r>
      <w:r w:rsidR="000721FF">
        <w:rPr>
          <w:rFonts w:asciiTheme="majorHAnsi" w:hAnsiTheme="majorHAnsi"/>
        </w:rPr>
        <w:t>unité requérante</w:t>
      </w:r>
      <w:r>
        <w:rPr>
          <w:rFonts w:asciiTheme="majorHAnsi" w:hAnsiTheme="majorHAnsi"/>
        </w:rPr>
        <w:t xml:space="preserve"> doit documenter l</w:t>
      </w:r>
      <w:r w:rsidR="001776DF">
        <w:rPr>
          <w:rFonts w:asciiTheme="majorHAnsi" w:hAnsiTheme="majorHAnsi"/>
        </w:rPr>
        <w:t>’</w:t>
      </w:r>
      <w:r>
        <w:rPr>
          <w:rFonts w:asciiTheme="majorHAnsi" w:hAnsiTheme="majorHAnsi"/>
        </w:rPr>
        <w:t xml:space="preserve">observation, aviser le fournisseur et demander que des mesures correctives soient </w:t>
      </w:r>
      <w:r w:rsidR="00827551">
        <w:rPr>
          <w:rFonts w:asciiTheme="majorHAnsi" w:hAnsiTheme="majorHAnsi"/>
        </w:rPr>
        <w:t xml:space="preserve">rapidement </w:t>
      </w:r>
      <w:r>
        <w:rPr>
          <w:rFonts w:asciiTheme="majorHAnsi" w:hAnsiTheme="majorHAnsi"/>
        </w:rPr>
        <w:t xml:space="preserve">prises. En cas de mauvais résultats récurrents, </w:t>
      </w:r>
      <w:r w:rsidR="005C70DF">
        <w:rPr>
          <w:rFonts w:asciiTheme="majorHAnsi" w:hAnsiTheme="majorHAnsi"/>
        </w:rPr>
        <w:t>elle</w:t>
      </w:r>
      <w:r>
        <w:rPr>
          <w:rFonts w:asciiTheme="majorHAnsi" w:hAnsiTheme="majorHAnsi"/>
        </w:rPr>
        <w:t xml:space="preserve"> doit informer l</w:t>
      </w:r>
      <w:r w:rsidR="001776DF">
        <w:rPr>
          <w:rFonts w:asciiTheme="majorHAnsi" w:hAnsiTheme="majorHAnsi"/>
        </w:rPr>
        <w:t>’</w:t>
      </w:r>
      <w:r>
        <w:rPr>
          <w:rFonts w:asciiTheme="majorHAnsi" w:hAnsiTheme="majorHAnsi"/>
        </w:rPr>
        <w:t>unité chargée des achats et fournir des preuves documentées de ces mauvais résultats, y compris les actions correctives entreprises ou non par le fournisseur.</w:t>
      </w:r>
    </w:p>
    <w:p w14:paraId="213709AC" w14:textId="77777777" w:rsidR="00213CA0" w:rsidRPr="00A80A0C" w:rsidRDefault="00213CA0" w:rsidP="00DE6097">
      <w:pPr>
        <w:pStyle w:val="ListParagraph"/>
        <w:ind w:left="1080"/>
        <w:jc w:val="both"/>
        <w:rPr>
          <w:rFonts w:asciiTheme="majorHAnsi" w:hAnsiTheme="majorHAnsi"/>
        </w:rPr>
      </w:pPr>
    </w:p>
    <w:p w14:paraId="577AE266" w14:textId="77777777" w:rsidR="000E6031" w:rsidRPr="000E6031" w:rsidRDefault="003073BB" w:rsidP="00DE6097">
      <w:pPr>
        <w:pStyle w:val="ListParagraph"/>
        <w:numPr>
          <w:ilvl w:val="0"/>
          <w:numId w:val="28"/>
        </w:numPr>
        <w:spacing w:line="240" w:lineRule="auto"/>
        <w:ind w:left="1080"/>
        <w:jc w:val="both"/>
        <w:rPr>
          <w:rFonts w:asciiTheme="majorHAnsi" w:hAnsiTheme="majorHAnsi"/>
        </w:rPr>
      </w:pPr>
      <w:r>
        <w:rPr>
          <w:rFonts w:asciiTheme="majorHAnsi" w:hAnsiTheme="majorHAnsi"/>
        </w:rPr>
        <w:t>Le chef de l</w:t>
      </w:r>
      <w:r w:rsidR="001776DF">
        <w:rPr>
          <w:rFonts w:asciiTheme="majorHAnsi" w:hAnsiTheme="majorHAnsi"/>
        </w:rPr>
        <w:t>’</w:t>
      </w:r>
      <w:r>
        <w:rPr>
          <w:rFonts w:asciiTheme="majorHAnsi" w:hAnsiTheme="majorHAnsi"/>
        </w:rPr>
        <w:t>unité chargée des achats ou des opérations doit</w:t>
      </w:r>
      <w:r w:rsidR="00827551">
        <w:rPr>
          <w:rFonts w:asciiTheme="majorHAnsi" w:hAnsiTheme="majorHAnsi"/>
        </w:rPr>
        <w:t> :</w:t>
      </w:r>
      <w:r>
        <w:rPr>
          <w:rFonts w:asciiTheme="majorHAnsi" w:hAnsiTheme="majorHAnsi"/>
        </w:rPr>
        <w:t xml:space="preserve"> </w:t>
      </w:r>
      <w:r w:rsidR="00827551">
        <w:rPr>
          <w:rFonts w:asciiTheme="majorHAnsi" w:hAnsiTheme="majorHAnsi"/>
        </w:rPr>
        <w:t xml:space="preserve">négocier </w:t>
      </w:r>
      <w:r>
        <w:rPr>
          <w:rFonts w:asciiTheme="majorHAnsi" w:hAnsiTheme="majorHAnsi"/>
        </w:rPr>
        <w:t>avec le demandeur, puis le fournisseur</w:t>
      </w:r>
      <w:r w:rsidR="001776DF">
        <w:rPr>
          <w:rFonts w:asciiTheme="majorHAnsi" w:hAnsiTheme="majorHAnsi"/>
        </w:rPr>
        <w:t> ;</w:t>
      </w:r>
      <w:r>
        <w:rPr>
          <w:rFonts w:asciiTheme="majorHAnsi" w:hAnsiTheme="majorHAnsi"/>
        </w:rPr>
        <w:t xml:space="preserve"> évaluer la situation et recommander les mesures correctives à prendre ou transmettre la situation pour consultation auprès de l</w:t>
      </w:r>
      <w:r w:rsidR="001776DF">
        <w:rPr>
          <w:rFonts w:asciiTheme="majorHAnsi" w:hAnsiTheme="majorHAnsi"/>
        </w:rPr>
        <w:t>’</w:t>
      </w:r>
      <w:r>
        <w:rPr>
          <w:rFonts w:asciiTheme="majorHAnsi" w:hAnsiTheme="majorHAnsi"/>
        </w:rPr>
        <w:t>Unité des services d</w:t>
      </w:r>
      <w:r w:rsidR="001776DF">
        <w:rPr>
          <w:rFonts w:asciiTheme="majorHAnsi" w:hAnsiTheme="majorHAnsi"/>
        </w:rPr>
        <w:t>’</w:t>
      </w:r>
      <w:r>
        <w:rPr>
          <w:rFonts w:asciiTheme="majorHAnsi" w:hAnsiTheme="majorHAnsi"/>
        </w:rPr>
        <w:t>achat et du Service juridique si l</w:t>
      </w:r>
      <w:r w:rsidR="001776DF">
        <w:rPr>
          <w:rFonts w:asciiTheme="majorHAnsi" w:hAnsiTheme="majorHAnsi"/>
        </w:rPr>
        <w:t>’</w:t>
      </w:r>
      <w:r>
        <w:rPr>
          <w:rFonts w:asciiTheme="majorHAnsi" w:hAnsiTheme="majorHAnsi"/>
        </w:rPr>
        <w:t>unité administrative n</w:t>
      </w:r>
      <w:r w:rsidR="001776DF">
        <w:rPr>
          <w:rFonts w:asciiTheme="majorHAnsi" w:hAnsiTheme="majorHAnsi"/>
        </w:rPr>
        <w:t>’</w:t>
      </w:r>
      <w:r>
        <w:rPr>
          <w:rFonts w:asciiTheme="majorHAnsi" w:hAnsiTheme="majorHAnsi"/>
        </w:rPr>
        <w:t xml:space="preserve">est pas en mesure de résoudre la situation. Chaque fois que la résiliation est envisagée, </w:t>
      </w:r>
      <w:r w:rsidR="00827551">
        <w:rPr>
          <w:rFonts w:asciiTheme="majorHAnsi" w:hAnsiTheme="majorHAnsi"/>
        </w:rPr>
        <w:t>l’unité administrative</w:t>
      </w:r>
      <w:r>
        <w:rPr>
          <w:rFonts w:asciiTheme="majorHAnsi" w:hAnsiTheme="majorHAnsi"/>
        </w:rPr>
        <w:t xml:space="preserve"> doit consulter le</w:t>
      </w:r>
      <w:r w:rsidR="00827551">
        <w:rPr>
          <w:rFonts w:asciiTheme="majorHAnsi" w:hAnsiTheme="majorHAnsi"/>
        </w:rPr>
        <w:t xml:space="preserve"> Service juridique</w:t>
      </w:r>
      <w:r>
        <w:rPr>
          <w:rFonts w:asciiTheme="majorHAnsi" w:hAnsiTheme="majorHAnsi"/>
        </w:rPr>
        <w:t xml:space="preserve"> avant de prendre une telle mesure. Le Service juridique examinera la situation et donnera des conseils sur les mesures qui pourraient être prises, y compris d</w:t>
      </w:r>
      <w:r w:rsidR="00827551">
        <w:rPr>
          <w:rFonts w:asciiTheme="majorHAnsi" w:hAnsiTheme="majorHAnsi"/>
        </w:rPr>
        <w:t>es</w:t>
      </w:r>
      <w:r>
        <w:rPr>
          <w:rFonts w:asciiTheme="majorHAnsi" w:hAnsiTheme="majorHAnsi"/>
        </w:rPr>
        <w:t xml:space="preserve"> mesures correctives</w:t>
      </w:r>
      <w:r w:rsidR="00827551">
        <w:rPr>
          <w:rFonts w:asciiTheme="majorHAnsi" w:hAnsiTheme="majorHAnsi"/>
        </w:rPr>
        <w:t xml:space="preserve"> supplémentaires</w:t>
      </w:r>
      <w:r>
        <w:rPr>
          <w:rFonts w:asciiTheme="majorHAnsi" w:hAnsiTheme="majorHAnsi"/>
        </w:rPr>
        <w:t xml:space="preserve"> à l</w:t>
      </w:r>
      <w:r w:rsidR="001776DF">
        <w:rPr>
          <w:rFonts w:asciiTheme="majorHAnsi" w:hAnsiTheme="majorHAnsi"/>
        </w:rPr>
        <w:t>’</w:t>
      </w:r>
      <w:r>
        <w:rPr>
          <w:rFonts w:asciiTheme="majorHAnsi" w:hAnsiTheme="majorHAnsi"/>
        </w:rPr>
        <w:t>égard de ce marché.</w:t>
      </w:r>
      <w:r w:rsidR="001776DF">
        <w:rPr>
          <w:rFonts w:asciiTheme="majorHAnsi" w:hAnsiTheme="majorHAnsi"/>
        </w:rPr>
        <w:t xml:space="preserve"> </w:t>
      </w:r>
      <w:r>
        <w:rPr>
          <w:rFonts w:asciiTheme="majorHAnsi" w:hAnsiTheme="majorHAnsi"/>
        </w:rPr>
        <w:t>S</w:t>
      </w:r>
      <w:r w:rsidR="001776DF">
        <w:rPr>
          <w:rFonts w:asciiTheme="majorHAnsi" w:hAnsiTheme="majorHAnsi"/>
        </w:rPr>
        <w:t>’</w:t>
      </w:r>
      <w:r>
        <w:rPr>
          <w:rFonts w:asciiTheme="majorHAnsi" w:hAnsiTheme="majorHAnsi"/>
        </w:rPr>
        <w:t>il est recommandé de suspendre ou d</w:t>
      </w:r>
      <w:r w:rsidR="001776DF">
        <w:rPr>
          <w:rFonts w:asciiTheme="majorHAnsi" w:hAnsiTheme="majorHAnsi"/>
        </w:rPr>
        <w:t>’</w:t>
      </w:r>
      <w:r>
        <w:rPr>
          <w:rFonts w:asciiTheme="majorHAnsi" w:hAnsiTheme="majorHAnsi"/>
        </w:rPr>
        <w:t xml:space="preserve">exclure ce fournisseur de futurs </w:t>
      </w:r>
      <w:r w:rsidR="001C63D3" w:rsidRPr="001C63D3">
        <w:rPr>
          <w:rFonts w:asciiTheme="majorHAnsi" w:hAnsiTheme="majorHAnsi"/>
        </w:rPr>
        <w:t xml:space="preserve">appels à la concurrence </w:t>
      </w:r>
      <w:r>
        <w:rPr>
          <w:rFonts w:asciiTheme="majorHAnsi" w:hAnsiTheme="majorHAnsi"/>
        </w:rPr>
        <w:t>du PNUD, l</w:t>
      </w:r>
      <w:r w:rsidR="001776DF">
        <w:rPr>
          <w:rFonts w:asciiTheme="majorHAnsi" w:hAnsiTheme="majorHAnsi"/>
        </w:rPr>
        <w:t>’</w:t>
      </w:r>
      <w:r>
        <w:rPr>
          <w:rFonts w:asciiTheme="majorHAnsi" w:hAnsiTheme="majorHAnsi"/>
        </w:rPr>
        <w:t>Unité des services d</w:t>
      </w:r>
      <w:r w:rsidR="001776DF">
        <w:rPr>
          <w:rFonts w:asciiTheme="majorHAnsi" w:hAnsiTheme="majorHAnsi"/>
        </w:rPr>
        <w:t>’</w:t>
      </w:r>
      <w:r>
        <w:rPr>
          <w:rFonts w:asciiTheme="majorHAnsi" w:hAnsiTheme="majorHAnsi"/>
        </w:rPr>
        <w:t>achat doit en examiner la teneur et en déterminer les modalités.</w:t>
      </w:r>
    </w:p>
    <w:p w14:paraId="204C57DF" w14:textId="77777777" w:rsidR="000E6031" w:rsidRPr="000E6031" w:rsidRDefault="000E6031" w:rsidP="000E6031">
      <w:pPr>
        <w:pStyle w:val="ListParagraph"/>
        <w:spacing w:line="240" w:lineRule="auto"/>
        <w:ind w:left="1080"/>
        <w:jc w:val="both"/>
        <w:rPr>
          <w:rFonts w:asciiTheme="majorHAnsi" w:hAnsiTheme="majorHAnsi"/>
        </w:rPr>
      </w:pPr>
    </w:p>
    <w:p w14:paraId="2BD3C04F" w14:textId="77777777" w:rsidR="00030C5D" w:rsidRPr="00A80A0C" w:rsidRDefault="00C66F13" w:rsidP="00A80A0C">
      <w:pPr>
        <w:pStyle w:val="ListParagraph"/>
        <w:spacing w:line="240" w:lineRule="auto"/>
        <w:jc w:val="both"/>
        <w:rPr>
          <w:rFonts w:asciiTheme="majorHAnsi" w:hAnsiTheme="majorHAnsi" w:cs="ITCGaramondStd-Bk"/>
        </w:rPr>
      </w:pPr>
      <w:r>
        <w:rPr>
          <w:rFonts w:asciiTheme="majorHAnsi" w:hAnsiTheme="majorHAnsi"/>
          <w:b/>
        </w:rPr>
        <w:t>Gestion des relations et de la communication</w:t>
      </w:r>
    </w:p>
    <w:p w14:paraId="7585564F" w14:textId="77777777" w:rsidR="002017E3" w:rsidRPr="001B37EA" w:rsidRDefault="002017E3" w:rsidP="00A80A0C">
      <w:pPr>
        <w:pStyle w:val="ListParagraph"/>
        <w:spacing w:line="240" w:lineRule="auto"/>
        <w:jc w:val="both"/>
        <w:rPr>
          <w:rFonts w:asciiTheme="majorHAnsi" w:hAnsiTheme="majorHAnsi" w:cs="ITCGaramondStd-Bk"/>
        </w:rPr>
      </w:pPr>
    </w:p>
    <w:p w14:paraId="174D1D12" w14:textId="77777777" w:rsidR="0006592E" w:rsidRPr="00A80A0C" w:rsidRDefault="00050BAE" w:rsidP="00A80A0C">
      <w:pPr>
        <w:pStyle w:val="ListParagraph"/>
        <w:numPr>
          <w:ilvl w:val="0"/>
          <w:numId w:val="28"/>
        </w:numPr>
        <w:spacing w:line="240" w:lineRule="auto"/>
        <w:jc w:val="both"/>
        <w:rPr>
          <w:rFonts w:asciiTheme="majorHAnsi" w:hAnsiTheme="majorHAnsi" w:cs="ITCGaramondStd-Bk"/>
        </w:rPr>
      </w:pPr>
      <w:r>
        <w:rPr>
          <w:rFonts w:asciiTheme="majorHAnsi" w:hAnsiTheme="majorHAnsi"/>
        </w:rPr>
        <w:t xml:space="preserve">Une relation ouverte et constructive doit être entretenue avec le fournisseur </w:t>
      </w:r>
      <w:r w:rsidR="00EB719D">
        <w:rPr>
          <w:rFonts w:asciiTheme="majorHAnsi" w:hAnsiTheme="majorHAnsi"/>
        </w:rPr>
        <w:t>pour lui permettre de</w:t>
      </w:r>
      <w:r>
        <w:rPr>
          <w:rFonts w:asciiTheme="majorHAnsi" w:hAnsiTheme="majorHAnsi"/>
        </w:rPr>
        <w:t xml:space="preserve"> partager les problèmes rencontrés dans la mise en œuvre du marché, offrir des solutions </w:t>
      </w:r>
      <w:r w:rsidR="00EB719D">
        <w:rPr>
          <w:rFonts w:asciiTheme="majorHAnsi" w:hAnsiTheme="majorHAnsi"/>
        </w:rPr>
        <w:t>novatrices</w:t>
      </w:r>
      <w:r>
        <w:rPr>
          <w:rFonts w:asciiTheme="majorHAnsi" w:hAnsiTheme="majorHAnsi"/>
        </w:rPr>
        <w:t xml:space="preserve"> et économiques et faciliter les négociations en cas de besoin. L</w:t>
      </w:r>
      <w:r w:rsidR="001776DF">
        <w:rPr>
          <w:rFonts w:asciiTheme="majorHAnsi" w:hAnsiTheme="majorHAnsi"/>
        </w:rPr>
        <w:t>’</w:t>
      </w:r>
      <w:r w:rsidR="000721FF">
        <w:rPr>
          <w:rFonts w:asciiTheme="majorHAnsi" w:hAnsiTheme="majorHAnsi"/>
        </w:rPr>
        <w:t>unité requérante</w:t>
      </w:r>
      <w:r>
        <w:rPr>
          <w:rFonts w:asciiTheme="majorHAnsi" w:hAnsiTheme="majorHAnsi"/>
        </w:rPr>
        <w:t xml:space="preserve"> et l</w:t>
      </w:r>
      <w:r w:rsidR="001776DF">
        <w:rPr>
          <w:rFonts w:asciiTheme="majorHAnsi" w:hAnsiTheme="majorHAnsi"/>
        </w:rPr>
        <w:t>’</w:t>
      </w:r>
      <w:r>
        <w:rPr>
          <w:rFonts w:asciiTheme="majorHAnsi" w:hAnsiTheme="majorHAnsi"/>
        </w:rPr>
        <w:t>unité chargée des achats doivent bien connaître les exigences du marché, s</w:t>
      </w:r>
      <w:r w:rsidR="001776DF">
        <w:rPr>
          <w:rFonts w:asciiTheme="majorHAnsi" w:hAnsiTheme="majorHAnsi"/>
        </w:rPr>
        <w:t>’</w:t>
      </w:r>
      <w:r>
        <w:rPr>
          <w:rFonts w:asciiTheme="majorHAnsi" w:hAnsiTheme="majorHAnsi"/>
        </w:rPr>
        <w:t>assurer que les rôles et les responsabilités sont bien compris par les deux parties et obtenir l</w:t>
      </w:r>
      <w:r w:rsidR="001776DF">
        <w:rPr>
          <w:rFonts w:asciiTheme="majorHAnsi" w:hAnsiTheme="majorHAnsi"/>
        </w:rPr>
        <w:t>’</w:t>
      </w:r>
      <w:r>
        <w:rPr>
          <w:rFonts w:asciiTheme="majorHAnsi" w:hAnsiTheme="majorHAnsi"/>
        </w:rPr>
        <w:t>appui et les conseils des cadres supérieurs dans la gestion de la relation avec le fournisseur, le cas échéant.</w:t>
      </w:r>
    </w:p>
    <w:p w14:paraId="0461057F" w14:textId="77777777" w:rsidR="003323C8" w:rsidRPr="00A80A0C" w:rsidRDefault="003323C8" w:rsidP="00A80A0C">
      <w:pPr>
        <w:pStyle w:val="ListParagraph"/>
        <w:spacing w:line="240" w:lineRule="auto"/>
        <w:ind w:left="1080"/>
        <w:jc w:val="both"/>
        <w:rPr>
          <w:rFonts w:asciiTheme="majorHAnsi" w:hAnsiTheme="majorHAnsi"/>
        </w:rPr>
      </w:pPr>
    </w:p>
    <w:p w14:paraId="191C9754" w14:textId="77777777" w:rsidR="0006592E" w:rsidRPr="00A80A0C" w:rsidRDefault="00E52784" w:rsidP="00A80A0C">
      <w:pPr>
        <w:pStyle w:val="ListParagraph"/>
        <w:numPr>
          <w:ilvl w:val="0"/>
          <w:numId w:val="28"/>
        </w:numPr>
        <w:spacing w:line="240" w:lineRule="auto"/>
        <w:jc w:val="both"/>
        <w:rPr>
          <w:rFonts w:asciiTheme="majorHAnsi" w:hAnsiTheme="majorHAnsi" w:cs="ITCGaramondStd-Bk"/>
        </w:rPr>
      </w:pPr>
      <w:r>
        <w:rPr>
          <w:rFonts w:asciiTheme="majorHAnsi" w:hAnsiTheme="majorHAnsi"/>
        </w:rPr>
        <w:t>Toutes les communications doivent être faites par écrit et, chaque fois qu</w:t>
      </w:r>
      <w:r w:rsidR="001776DF">
        <w:rPr>
          <w:rFonts w:asciiTheme="majorHAnsi" w:hAnsiTheme="majorHAnsi"/>
        </w:rPr>
        <w:t>’</w:t>
      </w:r>
      <w:r>
        <w:rPr>
          <w:rFonts w:asciiTheme="majorHAnsi" w:hAnsiTheme="majorHAnsi"/>
        </w:rPr>
        <w:t>une communication verbale est faite, elle doit</w:t>
      </w:r>
      <w:r w:rsidR="00EB719D">
        <w:rPr>
          <w:rFonts w:asciiTheme="majorHAnsi" w:hAnsiTheme="majorHAnsi"/>
        </w:rPr>
        <w:t xml:space="preserve"> par la suite</w:t>
      </w:r>
      <w:r>
        <w:rPr>
          <w:rFonts w:asciiTheme="majorHAnsi" w:hAnsiTheme="majorHAnsi"/>
        </w:rPr>
        <w:t xml:space="preserve"> être documentée et classée dans le dossier de la documentation contractuelle.</w:t>
      </w:r>
    </w:p>
    <w:p w14:paraId="78E64236" w14:textId="77777777" w:rsidR="00525E18" w:rsidRPr="00A80A0C" w:rsidRDefault="00525E18" w:rsidP="00A80A0C">
      <w:pPr>
        <w:pStyle w:val="ListParagraph"/>
        <w:spacing w:line="240" w:lineRule="auto"/>
        <w:ind w:left="1080"/>
        <w:jc w:val="both"/>
        <w:rPr>
          <w:rFonts w:asciiTheme="majorHAnsi" w:hAnsiTheme="majorHAnsi" w:cs="ITCGaramondStd-Bk"/>
        </w:rPr>
      </w:pPr>
    </w:p>
    <w:p w14:paraId="34870382" w14:textId="77777777" w:rsidR="00167B73" w:rsidRPr="001B37EA" w:rsidRDefault="00C21235" w:rsidP="00A80A0C">
      <w:pPr>
        <w:pStyle w:val="ListParagraph"/>
        <w:numPr>
          <w:ilvl w:val="0"/>
          <w:numId w:val="28"/>
        </w:numPr>
        <w:spacing w:line="240" w:lineRule="auto"/>
        <w:jc w:val="both"/>
        <w:rPr>
          <w:rFonts w:asciiTheme="majorHAnsi" w:hAnsiTheme="majorHAnsi" w:cs="ITCGaramondStd-Bk"/>
        </w:rPr>
      </w:pPr>
      <w:r>
        <w:rPr>
          <w:rFonts w:asciiTheme="majorHAnsi" w:hAnsiTheme="majorHAnsi"/>
        </w:rPr>
        <w:t xml:space="preserve">Des réunions ou des discussions régulières </w:t>
      </w:r>
      <w:r w:rsidR="0066776D">
        <w:rPr>
          <w:rFonts w:asciiTheme="majorHAnsi" w:hAnsiTheme="majorHAnsi"/>
        </w:rPr>
        <w:t>portant sur l’</w:t>
      </w:r>
      <w:r>
        <w:rPr>
          <w:rFonts w:asciiTheme="majorHAnsi" w:hAnsiTheme="majorHAnsi"/>
        </w:rPr>
        <w:t>examen du marché doivent avoir lieu avec le fournisseur pour examiner et discuter des faits nouveaux ou des risques identifiés au cours de la mise en œuvre du marché. La fréquence des réunions ou des discussions doit être déterminée selon l</w:t>
      </w:r>
      <w:r w:rsidR="001776DF">
        <w:rPr>
          <w:rFonts w:asciiTheme="majorHAnsi" w:hAnsiTheme="majorHAnsi"/>
        </w:rPr>
        <w:t>’</w:t>
      </w:r>
      <w:r>
        <w:rPr>
          <w:rFonts w:asciiTheme="majorHAnsi" w:hAnsiTheme="majorHAnsi"/>
        </w:rPr>
        <w:t>étendue, le montant et la complexité du marché.</w:t>
      </w:r>
    </w:p>
    <w:p w14:paraId="3A9E6FAA" w14:textId="77777777" w:rsidR="001142E5" w:rsidRPr="00A80A0C" w:rsidRDefault="001142E5" w:rsidP="00A80A0C">
      <w:pPr>
        <w:pStyle w:val="ListParagraph"/>
        <w:spacing w:line="240" w:lineRule="auto"/>
        <w:ind w:left="1080"/>
        <w:jc w:val="both"/>
        <w:rPr>
          <w:rFonts w:asciiTheme="majorHAnsi" w:hAnsiTheme="majorHAnsi" w:cs="ITCGaramondStd-Bk"/>
        </w:rPr>
      </w:pPr>
    </w:p>
    <w:p w14:paraId="6B2E93A3" w14:textId="77777777" w:rsidR="003D147B" w:rsidRPr="00A80A0C" w:rsidRDefault="003E146C" w:rsidP="00A80A0C">
      <w:pPr>
        <w:pStyle w:val="ListParagraph"/>
        <w:numPr>
          <w:ilvl w:val="0"/>
          <w:numId w:val="28"/>
        </w:numPr>
        <w:spacing w:line="240" w:lineRule="auto"/>
        <w:jc w:val="both"/>
        <w:rPr>
          <w:rFonts w:asciiTheme="majorHAnsi" w:hAnsiTheme="majorHAnsi"/>
        </w:rPr>
      </w:pPr>
      <w:r>
        <w:rPr>
          <w:rFonts w:asciiTheme="majorHAnsi" w:hAnsiTheme="majorHAnsi"/>
        </w:rPr>
        <w:t>La politique existante en matière de conflits d</w:t>
      </w:r>
      <w:r w:rsidR="001776DF">
        <w:rPr>
          <w:rFonts w:asciiTheme="majorHAnsi" w:hAnsiTheme="majorHAnsi"/>
        </w:rPr>
        <w:t>’</w:t>
      </w:r>
      <w:r>
        <w:rPr>
          <w:rFonts w:asciiTheme="majorHAnsi" w:hAnsiTheme="majorHAnsi"/>
        </w:rPr>
        <w:t>intérêts doit être respectée dans toutes les relations avec le fournisseur et l</w:t>
      </w:r>
      <w:r w:rsidR="001776DF">
        <w:rPr>
          <w:rFonts w:asciiTheme="majorHAnsi" w:hAnsiTheme="majorHAnsi"/>
        </w:rPr>
        <w:t>’</w:t>
      </w:r>
      <w:r>
        <w:rPr>
          <w:rFonts w:asciiTheme="majorHAnsi" w:hAnsiTheme="majorHAnsi"/>
        </w:rPr>
        <w:t>utilisateur final.</w:t>
      </w:r>
    </w:p>
    <w:p w14:paraId="74E2CDF8" w14:textId="77777777" w:rsidR="00552A25" w:rsidRPr="00A80A0C" w:rsidRDefault="00552A25" w:rsidP="00A80A0C">
      <w:pPr>
        <w:pStyle w:val="ListParagraph"/>
        <w:spacing w:line="240" w:lineRule="auto"/>
        <w:jc w:val="both"/>
        <w:rPr>
          <w:rFonts w:asciiTheme="majorHAnsi" w:hAnsiTheme="majorHAnsi"/>
        </w:rPr>
      </w:pPr>
    </w:p>
    <w:p w14:paraId="3C04A9BE" w14:textId="4596A2E8" w:rsidR="00EB02B4" w:rsidRPr="00A80A0C" w:rsidRDefault="00C60040" w:rsidP="00A80A0C">
      <w:pPr>
        <w:pStyle w:val="ListParagraph"/>
        <w:spacing w:line="240" w:lineRule="auto"/>
        <w:rPr>
          <w:rFonts w:asciiTheme="majorHAnsi" w:hAnsiTheme="majorHAnsi"/>
        </w:rPr>
      </w:pPr>
      <w:r>
        <w:rPr>
          <w:rFonts w:asciiTheme="majorHAnsi" w:hAnsiTheme="majorHAnsi"/>
          <w:b/>
        </w:rPr>
        <w:t xml:space="preserve">Administration </w:t>
      </w:r>
      <w:r w:rsidR="004B1025">
        <w:rPr>
          <w:rFonts w:asciiTheme="majorHAnsi" w:hAnsiTheme="majorHAnsi"/>
          <w:b/>
        </w:rPr>
        <w:t>des contrats</w:t>
      </w:r>
    </w:p>
    <w:p w14:paraId="19F0A13D" w14:textId="77777777" w:rsidR="001142E5" w:rsidRPr="00A80A0C" w:rsidRDefault="001142E5" w:rsidP="00A80A0C">
      <w:pPr>
        <w:pStyle w:val="ListParagraph"/>
        <w:spacing w:line="240" w:lineRule="auto"/>
        <w:jc w:val="both"/>
        <w:rPr>
          <w:rFonts w:asciiTheme="majorHAnsi" w:hAnsiTheme="majorHAnsi"/>
        </w:rPr>
      </w:pPr>
    </w:p>
    <w:p w14:paraId="3F665204" w14:textId="3EF47906" w:rsidR="00F032C6" w:rsidRPr="001B37EA" w:rsidRDefault="00050BAE" w:rsidP="00DE6097">
      <w:pPr>
        <w:pStyle w:val="ListParagraph"/>
        <w:numPr>
          <w:ilvl w:val="0"/>
          <w:numId w:val="28"/>
        </w:numPr>
        <w:autoSpaceDE w:val="0"/>
        <w:autoSpaceDN w:val="0"/>
        <w:adjustRightInd w:val="0"/>
        <w:spacing w:line="240" w:lineRule="auto"/>
        <w:jc w:val="both"/>
        <w:rPr>
          <w:rFonts w:asciiTheme="majorHAnsi" w:hAnsiTheme="majorHAnsi" w:cs="Arial"/>
        </w:rPr>
      </w:pPr>
      <w:r>
        <w:rPr>
          <w:rFonts w:asciiTheme="majorHAnsi" w:hAnsiTheme="majorHAnsi"/>
        </w:rPr>
        <w:lastRenderedPageBreak/>
        <w:t>Lors de l</w:t>
      </w:r>
      <w:r w:rsidR="001776DF">
        <w:rPr>
          <w:rFonts w:asciiTheme="majorHAnsi" w:hAnsiTheme="majorHAnsi"/>
        </w:rPr>
        <w:t>’</w:t>
      </w:r>
      <w:r>
        <w:rPr>
          <w:rFonts w:asciiTheme="majorHAnsi" w:hAnsiTheme="majorHAnsi"/>
        </w:rPr>
        <w:t xml:space="preserve">attribution du marché, les éléments administratifs de la gestion des </w:t>
      </w:r>
      <w:r w:rsidR="001D4200">
        <w:rPr>
          <w:rFonts w:asciiTheme="majorHAnsi" w:hAnsiTheme="majorHAnsi"/>
        </w:rPr>
        <w:t>contrats</w:t>
      </w:r>
      <w:r w:rsidR="0066776D">
        <w:rPr>
          <w:rFonts w:asciiTheme="majorHAnsi" w:hAnsiTheme="majorHAnsi"/>
        </w:rPr>
        <w:t xml:space="preserve">, dont </w:t>
      </w:r>
      <w:r>
        <w:rPr>
          <w:rFonts w:asciiTheme="majorHAnsi" w:hAnsiTheme="majorHAnsi"/>
        </w:rPr>
        <w:t>le traitement des modifications contractuelles, l</w:t>
      </w:r>
      <w:r w:rsidR="001776DF">
        <w:rPr>
          <w:rFonts w:asciiTheme="majorHAnsi" w:hAnsiTheme="majorHAnsi"/>
        </w:rPr>
        <w:t>’</w:t>
      </w:r>
      <w:r>
        <w:rPr>
          <w:rFonts w:asciiTheme="majorHAnsi" w:hAnsiTheme="majorHAnsi"/>
        </w:rPr>
        <w:t>obtention des approbations requises, la tenue d</w:t>
      </w:r>
      <w:r w:rsidR="001776DF">
        <w:rPr>
          <w:rFonts w:asciiTheme="majorHAnsi" w:hAnsiTheme="majorHAnsi"/>
        </w:rPr>
        <w:t>’</w:t>
      </w:r>
      <w:r>
        <w:rPr>
          <w:rFonts w:asciiTheme="majorHAnsi" w:hAnsiTheme="majorHAnsi"/>
        </w:rPr>
        <w:t>un dossier d</w:t>
      </w:r>
      <w:r w:rsidR="001776DF">
        <w:rPr>
          <w:rFonts w:asciiTheme="majorHAnsi" w:hAnsiTheme="majorHAnsi"/>
        </w:rPr>
        <w:t>’</w:t>
      </w:r>
      <w:r>
        <w:rPr>
          <w:rFonts w:asciiTheme="majorHAnsi" w:hAnsiTheme="majorHAnsi"/>
        </w:rPr>
        <w:t>audit pour le marché, y compris toutes les correspondances, la facilitation des réunions contractuelles si nécessaire, l</w:t>
      </w:r>
      <w:r w:rsidR="001776DF">
        <w:rPr>
          <w:rFonts w:asciiTheme="majorHAnsi" w:hAnsiTheme="majorHAnsi"/>
        </w:rPr>
        <w:t>’</w:t>
      </w:r>
      <w:r>
        <w:rPr>
          <w:rFonts w:asciiTheme="majorHAnsi" w:hAnsiTheme="majorHAnsi"/>
        </w:rPr>
        <w:t>appui au suivi des paiements</w:t>
      </w:r>
      <w:r w:rsidR="00B72792" w:rsidRPr="001B37EA">
        <w:rPr>
          <w:rStyle w:val="FootnoteReference"/>
          <w:rFonts w:asciiTheme="majorHAnsi" w:hAnsiTheme="majorHAnsi" w:cs="ITCGaramondStd-Bk"/>
        </w:rPr>
        <w:footnoteReference w:id="3"/>
      </w:r>
      <w:r>
        <w:rPr>
          <w:rFonts w:asciiTheme="majorHAnsi" w:hAnsiTheme="majorHAnsi"/>
        </w:rPr>
        <w:t>, des échéances et des activités de clôture du marché, doivent être effectués par l</w:t>
      </w:r>
      <w:r w:rsidR="001776DF">
        <w:rPr>
          <w:rFonts w:asciiTheme="majorHAnsi" w:hAnsiTheme="majorHAnsi"/>
        </w:rPr>
        <w:t>’</w:t>
      </w:r>
      <w:r>
        <w:rPr>
          <w:rFonts w:asciiTheme="majorHAnsi" w:hAnsiTheme="majorHAnsi"/>
        </w:rPr>
        <w:t>unité chargée des achats en collaboration avec l</w:t>
      </w:r>
      <w:r w:rsidR="001776DF">
        <w:rPr>
          <w:rFonts w:asciiTheme="majorHAnsi" w:hAnsiTheme="majorHAnsi"/>
        </w:rPr>
        <w:t>’</w:t>
      </w:r>
      <w:r w:rsidR="000721FF">
        <w:rPr>
          <w:rFonts w:asciiTheme="majorHAnsi" w:hAnsiTheme="majorHAnsi"/>
        </w:rPr>
        <w:t>unité requérante</w:t>
      </w:r>
      <w:r>
        <w:rPr>
          <w:rFonts w:asciiTheme="majorHAnsi" w:hAnsiTheme="majorHAnsi"/>
        </w:rPr>
        <w:t xml:space="preserve"> et à sa demande.</w:t>
      </w:r>
    </w:p>
    <w:p w14:paraId="5365276A" w14:textId="77777777" w:rsidR="00F1666D" w:rsidRPr="00A80A0C" w:rsidRDefault="00F1666D" w:rsidP="00DE6097">
      <w:pPr>
        <w:pStyle w:val="ListParagraph"/>
        <w:spacing w:line="240" w:lineRule="auto"/>
        <w:jc w:val="both"/>
        <w:rPr>
          <w:rFonts w:asciiTheme="majorHAnsi" w:hAnsiTheme="majorHAnsi" w:cs="Arial"/>
        </w:rPr>
      </w:pPr>
    </w:p>
    <w:p w14:paraId="6AA5DDAE" w14:textId="1A2E2372" w:rsidR="005175BC" w:rsidRPr="00A80A0C" w:rsidRDefault="00C64BAC" w:rsidP="00DE6097">
      <w:pPr>
        <w:pStyle w:val="ListParagraph"/>
        <w:spacing w:line="240" w:lineRule="auto"/>
        <w:jc w:val="both"/>
        <w:rPr>
          <w:rFonts w:asciiTheme="majorHAnsi" w:hAnsiTheme="majorHAnsi"/>
          <w:b/>
        </w:rPr>
      </w:pPr>
      <w:r>
        <w:rPr>
          <w:rFonts w:asciiTheme="majorHAnsi" w:hAnsiTheme="majorHAnsi"/>
          <w:b/>
        </w:rPr>
        <w:t xml:space="preserve">Gestion des changements et modification </w:t>
      </w:r>
      <w:r w:rsidR="004B1025">
        <w:rPr>
          <w:rFonts w:asciiTheme="majorHAnsi" w:hAnsiTheme="majorHAnsi"/>
          <w:b/>
        </w:rPr>
        <w:t>du contrat</w:t>
      </w:r>
    </w:p>
    <w:p w14:paraId="783643AF" w14:textId="77777777" w:rsidR="00C07E56" w:rsidRPr="00A80A0C" w:rsidRDefault="00C07E56" w:rsidP="00DE6097">
      <w:pPr>
        <w:pStyle w:val="ListParagraph"/>
        <w:spacing w:line="240" w:lineRule="auto"/>
        <w:jc w:val="both"/>
        <w:rPr>
          <w:rFonts w:asciiTheme="majorHAnsi" w:hAnsiTheme="majorHAnsi"/>
          <w:b/>
        </w:rPr>
      </w:pPr>
    </w:p>
    <w:p w14:paraId="54CF8ADB" w14:textId="77129CE2" w:rsidR="00A92A43" w:rsidRPr="001776DF" w:rsidRDefault="005F7BF8" w:rsidP="00DE6097">
      <w:pPr>
        <w:pStyle w:val="ListParagraph"/>
        <w:numPr>
          <w:ilvl w:val="0"/>
          <w:numId w:val="30"/>
        </w:numPr>
        <w:spacing w:line="240" w:lineRule="auto"/>
        <w:ind w:left="1440"/>
        <w:jc w:val="both"/>
        <w:rPr>
          <w:rFonts w:asciiTheme="majorHAnsi" w:hAnsiTheme="majorHAnsi" w:cs="Arial"/>
        </w:rPr>
      </w:pPr>
      <w:r>
        <w:rPr>
          <w:rFonts w:asciiTheme="majorHAnsi" w:hAnsiTheme="majorHAnsi"/>
        </w:rPr>
        <w:t xml:space="preserve">Les </w:t>
      </w:r>
      <w:r w:rsidR="00644C8C">
        <w:rPr>
          <w:rFonts w:asciiTheme="majorHAnsi" w:hAnsiTheme="majorHAnsi"/>
        </w:rPr>
        <w:t xml:space="preserve">contrats </w:t>
      </w:r>
      <w:r>
        <w:rPr>
          <w:rFonts w:asciiTheme="majorHAnsi" w:hAnsiTheme="majorHAnsi"/>
        </w:rPr>
        <w:t>sont modifiés lorsqu</w:t>
      </w:r>
      <w:r w:rsidR="001776DF">
        <w:rPr>
          <w:rFonts w:asciiTheme="majorHAnsi" w:hAnsiTheme="majorHAnsi"/>
        </w:rPr>
        <w:t>’</w:t>
      </w:r>
      <w:r>
        <w:rPr>
          <w:rFonts w:asciiTheme="majorHAnsi" w:hAnsiTheme="majorHAnsi"/>
        </w:rPr>
        <w:t>il existe des exigences justifiables tel</w:t>
      </w:r>
      <w:r w:rsidR="00BC5C97">
        <w:rPr>
          <w:rFonts w:asciiTheme="majorHAnsi" w:hAnsiTheme="majorHAnsi"/>
        </w:rPr>
        <w:t>le</w:t>
      </w:r>
      <w:r>
        <w:rPr>
          <w:rFonts w:asciiTheme="majorHAnsi" w:hAnsiTheme="majorHAnsi"/>
        </w:rPr>
        <w:t>s que la prolongation de la durée, la modification du champ d</w:t>
      </w:r>
      <w:r w:rsidR="001776DF">
        <w:rPr>
          <w:rFonts w:asciiTheme="majorHAnsi" w:hAnsiTheme="majorHAnsi"/>
        </w:rPr>
        <w:t>’</w:t>
      </w:r>
      <w:r>
        <w:rPr>
          <w:rFonts w:asciiTheme="majorHAnsi" w:hAnsiTheme="majorHAnsi"/>
        </w:rPr>
        <w:t>application des biens ou des services à fournir ou d</w:t>
      </w:r>
      <w:r w:rsidR="001776DF">
        <w:rPr>
          <w:rFonts w:asciiTheme="majorHAnsi" w:hAnsiTheme="majorHAnsi"/>
        </w:rPr>
        <w:t>’</w:t>
      </w:r>
      <w:r>
        <w:rPr>
          <w:rFonts w:asciiTheme="majorHAnsi" w:hAnsiTheme="majorHAnsi"/>
        </w:rPr>
        <w:t>autres aspects pertinents du marché et qu</w:t>
      </w:r>
      <w:r w:rsidR="001776DF">
        <w:rPr>
          <w:rFonts w:asciiTheme="majorHAnsi" w:hAnsiTheme="majorHAnsi"/>
        </w:rPr>
        <w:t>’</w:t>
      </w:r>
      <w:r>
        <w:rPr>
          <w:rFonts w:asciiTheme="majorHAnsi" w:hAnsiTheme="majorHAnsi"/>
        </w:rPr>
        <w:t>elles sont dûment approuvées par les autorités compétentes de l</w:t>
      </w:r>
      <w:r w:rsidR="001776DF">
        <w:rPr>
          <w:rFonts w:asciiTheme="majorHAnsi" w:hAnsiTheme="majorHAnsi"/>
        </w:rPr>
        <w:t>’</w:t>
      </w:r>
      <w:r>
        <w:rPr>
          <w:rFonts w:asciiTheme="majorHAnsi" w:hAnsiTheme="majorHAnsi"/>
        </w:rPr>
        <w:t>unité administrative et les comités d</w:t>
      </w:r>
      <w:r w:rsidR="001776DF">
        <w:rPr>
          <w:rFonts w:asciiTheme="majorHAnsi" w:hAnsiTheme="majorHAnsi"/>
        </w:rPr>
        <w:t>’</w:t>
      </w:r>
      <w:r>
        <w:rPr>
          <w:rFonts w:asciiTheme="majorHAnsi" w:hAnsiTheme="majorHAnsi"/>
        </w:rPr>
        <w:t>examen des marchés (</w:t>
      </w:r>
      <w:r w:rsidR="00F238CB">
        <w:rPr>
          <w:rFonts w:asciiTheme="majorHAnsi" w:hAnsiTheme="majorHAnsi"/>
        </w:rPr>
        <w:t>Autorité des achats</w:t>
      </w:r>
      <w:r>
        <w:rPr>
          <w:rFonts w:asciiTheme="majorHAnsi" w:hAnsiTheme="majorHAnsi"/>
        </w:rPr>
        <w:t xml:space="preserve">, </w:t>
      </w:r>
      <w:r w:rsidR="009C4A2B" w:rsidRPr="00D56CC8">
        <w:rPr>
          <w:rFonts w:asciiTheme="majorHAnsi" w:hAnsiTheme="majorHAnsi"/>
        </w:rPr>
        <w:t>Comité des marchés, du matériel et des achats</w:t>
      </w:r>
      <w:r>
        <w:rPr>
          <w:rFonts w:asciiTheme="majorHAnsi" w:hAnsiTheme="majorHAnsi"/>
        </w:rPr>
        <w:t xml:space="preserve">, </w:t>
      </w:r>
      <w:r w:rsidR="009C4A2B" w:rsidRPr="00D56CC8">
        <w:rPr>
          <w:rFonts w:asciiTheme="majorHAnsi" w:hAnsiTheme="majorHAnsi"/>
        </w:rPr>
        <w:t>Comité consultatif régional pour les achats</w:t>
      </w:r>
      <w:r>
        <w:rPr>
          <w:rFonts w:asciiTheme="majorHAnsi" w:hAnsiTheme="majorHAnsi"/>
        </w:rPr>
        <w:t xml:space="preserve">, </w:t>
      </w:r>
      <w:r w:rsidR="009C4A2B" w:rsidRPr="00D56CC8">
        <w:rPr>
          <w:rFonts w:asciiTheme="majorHAnsi" w:hAnsiTheme="majorHAnsi"/>
        </w:rPr>
        <w:t>Comité consultatif pour les achats</w:t>
      </w:r>
      <w:r>
        <w:rPr>
          <w:rFonts w:asciiTheme="majorHAnsi" w:hAnsiTheme="majorHAnsi"/>
        </w:rPr>
        <w:t>), le cas échéant.</w:t>
      </w:r>
    </w:p>
    <w:p w14:paraId="390EDE2F" w14:textId="77777777" w:rsidR="00D56CC8" w:rsidRDefault="00D56CC8" w:rsidP="00DE6097">
      <w:pPr>
        <w:pStyle w:val="ListParagraph"/>
        <w:spacing w:line="240" w:lineRule="auto"/>
        <w:ind w:left="1440"/>
        <w:jc w:val="both"/>
        <w:rPr>
          <w:rFonts w:asciiTheme="majorHAnsi" w:hAnsiTheme="majorHAnsi" w:cs="Arial"/>
        </w:rPr>
      </w:pPr>
    </w:p>
    <w:p w14:paraId="0A6E76C3" w14:textId="77777777" w:rsidR="00460828" w:rsidRPr="00A80A0C" w:rsidRDefault="00050BAE" w:rsidP="00DE6097">
      <w:pPr>
        <w:pStyle w:val="ListParagraph"/>
        <w:numPr>
          <w:ilvl w:val="0"/>
          <w:numId w:val="30"/>
        </w:numPr>
        <w:spacing w:line="240" w:lineRule="auto"/>
        <w:ind w:left="1440"/>
        <w:jc w:val="both"/>
        <w:rPr>
          <w:rFonts w:asciiTheme="majorHAnsi" w:eastAsia="ArialMT" w:hAnsiTheme="majorHAnsi" w:cs="ArialMT"/>
        </w:rPr>
      </w:pPr>
      <w:r>
        <w:rPr>
          <w:rFonts w:asciiTheme="majorHAnsi" w:hAnsiTheme="majorHAnsi"/>
        </w:rPr>
        <w:t>Les marchés ne doivent pas être augmentés ou étendus comme moyen d</w:t>
      </w:r>
      <w:r w:rsidR="001776DF">
        <w:rPr>
          <w:rFonts w:asciiTheme="majorHAnsi" w:hAnsiTheme="majorHAnsi"/>
        </w:rPr>
        <w:t>’</w:t>
      </w:r>
      <w:r>
        <w:rPr>
          <w:rFonts w:asciiTheme="majorHAnsi" w:hAnsiTheme="majorHAnsi"/>
        </w:rPr>
        <w:t>éviter indûment la sollicitation concurrentielle pour le besoin. Ils ne doivent être modifiés que pour refléter une évolution de l</w:t>
      </w:r>
      <w:r w:rsidR="001776DF">
        <w:rPr>
          <w:rFonts w:asciiTheme="majorHAnsi" w:hAnsiTheme="majorHAnsi"/>
        </w:rPr>
        <w:t>’</w:t>
      </w:r>
      <w:r>
        <w:rPr>
          <w:rFonts w:asciiTheme="majorHAnsi" w:hAnsiTheme="majorHAnsi"/>
        </w:rPr>
        <w:t>accord contractuel ou d</w:t>
      </w:r>
      <w:r w:rsidR="001776DF">
        <w:rPr>
          <w:rFonts w:asciiTheme="majorHAnsi" w:hAnsiTheme="majorHAnsi"/>
        </w:rPr>
        <w:t>’</w:t>
      </w:r>
      <w:r>
        <w:rPr>
          <w:rFonts w:asciiTheme="majorHAnsi" w:hAnsiTheme="majorHAnsi"/>
        </w:rPr>
        <w:t>autres changements importants de circonstances.</w:t>
      </w:r>
    </w:p>
    <w:p w14:paraId="4ACEC778" w14:textId="77777777" w:rsidR="00E128C3" w:rsidRDefault="00E128C3" w:rsidP="00DE6097">
      <w:pPr>
        <w:pStyle w:val="ListParagraph"/>
        <w:spacing w:line="240" w:lineRule="auto"/>
        <w:ind w:left="1440"/>
        <w:jc w:val="both"/>
        <w:rPr>
          <w:rFonts w:asciiTheme="majorHAnsi" w:hAnsiTheme="majorHAnsi" w:cs="Arial"/>
        </w:rPr>
      </w:pPr>
    </w:p>
    <w:p w14:paraId="79C71C02" w14:textId="77777777" w:rsidR="00E128C3" w:rsidRDefault="00050BAE" w:rsidP="00DE6097">
      <w:pPr>
        <w:pStyle w:val="ListParagraph"/>
        <w:numPr>
          <w:ilvl w:val="0"/>
          <w:numId w:val="30"/>
        </w:numPr>
        <w:spacing w:line="240" w:lineRule="auto"/>
        <w:ind w:left="1440"/>
        <w:jc w:val="both"/>
        <w:rPr>
          <w:rFonts w:asciiTheme="majorHAnsi" w:hAnsiTheme="majorHAnsi" w:cs="Arial"/>
        </w:rPr>
      </w:pPr>
      <w:r>
        <w:rPr>
          <w:rFonts w:asciiTheme="majorHAnsi" w:hAnsiTheme="majorHAnsi"/>
        </w:rPr>
        <w:t>Les modifications doivent être faites bien avant la date d</w:t>
      </w:r>
      <w:r w:rsidR="001776DF">
        <w:rPr>
          <w:rFonts w:asciiTheme="majorHAnsi" w:hAnsiTheme="majorHAnsi"/>
        </w:rPr>
        <w:t>’</w:t>
      </w:r>
      <w:r>
        <w:rPr>
          <w:rFonts w:asciiTheme="majorHAnsi" w:hAnsiTheme="majorHAnsi"/>
        </w:rPr>
        <w:t>entrée en vigueur proposée de la modification, et toujours avant la date d</w:t>
      </w:r>
      <w:r w:rsidR="001776DF">
        <w:rPr>
          <w:rFonts w:asciiTheme="majorHAnsi" w:hAnsiTheme="majorHAnsi"/>
        </w:rPr>
        <w:t>’</w:t>
      </w:r>
      <w:r>
        <w:rPr>
          <w:rFonts w:asciiTheme="majorHAnsi" w:hAnsiTheme="majorHAnsi"/>
        </w:rPr>
        <w:t>expiration du marché, car les marchés expirés ne sont pas valides.</w:t>
      </w:r>
    </w:p>
    <w:p w14:paraId="668A7BA0" w14:textId="77777777" w:rsidR="00B72792" w:rsidRPr="001B37EA" w:rsidRDefault="00B72792" w:rsidP="00DE6097">
      <w:pPr>
        <w:pStyle w:val="ListParagraph"/>
        <w:spacing w:line="240" w:lineRule="auto"/>
        <w:ind w:left="1440"/>
        <w:jc w:val="both"/>
        <w:rPr>
          <w:rFonts w:asciiTheme="majorHAnsi" w:eastAsia="ArialMT" w:hAnsiTheme="majorHAnsi" w:cs="ArialMT"/>
        </w:rPr>
      </w:pPr>
    </w:p>
    <w:p w14:paraId="69B58F8D" w14:textId="77777777" w:rsidR="005175BC" w:rsidRDefault="00B66E22" w:rsidP="00DE6097">
      <w:pPr>
        <w:pStyle w:val="ListParagraph"/>
        <w:numPr>
          <w:ilvl w:val="0"/>
          <w:numId w:val="30"/>
        </w:numPr>
        <w:spacing w:line="240" w:lineRule="auto"/>
        <w:ind w:left="1440"/>
        <w:jc w:val="both"/>
        <w:rPr>
          <w:rFonts w:asciiTheme="majorHAnsi" w:hAnsiTheme="majorHAnsi" w:cs="Arial"/>
        </w:rPr>
      </w:pPr>
      <w:r>
        <w:rPr>
          <w:rFonts w:asciiTheme="majorHAnsi" w:hAnsiTheme="majorHAnsi"/>
        </w:rPr>
        <w:t>La modification du prix ou du coût après l</w:t>
      </w:r>
      <w:r w:rsidR="001776DF">
        <w:rPr>
          <w:rFonts w:asciiTheme="majorHAnsi" w:hAnsiTheme="majorHAnsi"/>
        </w:rPr>
        <w:t>’</w:t>
      </w:r>
      <w:r>
        <w:rPr>
          <w:rFonts w:asciiTheme="majorHAnsi" w:hAnsiTheme="majorHAnsi"/>
        </w:rPr>
        <w:t>attribution du marché n</w:t>
      </w:r>
      <w:r w:rsidR="001776DF">
        <w:rPr>
          <w:rFonts w:asciiTheme="majorHAnsi" w:hAnsiTheme="majorHAnsi"/>
        </w:rPr>
        <w:t>’</w:t>
      </w:r>
      <w:r>
        <w:rPr>
          <w:rFonts w:asciiTheme="majorHAnsi" w:hAnsiTheme="majorHAnsi"/>
        </w:rPr>
        <w:t>est pas autorisée, sauf en cas d</w:t>
      </w:r>
      <w:r w:rsidR="001776DF">
        <w:rPr>
          <w:rFonts w:asciiTheme="majorHAnsi" w:hAnsiTheme="majorHAnsi"/>
        </w:rPr>
        <w:t>’</w:t>
      </w:r>
      <w:r>
        <w:rPr>
          <w:rFonts w:asciiTheme="majorHAnsi" w:hAnsiTheme="majorHAnsi"/>
        </w:rPr>
        <w:t>augmentation ou de diminution de la portée du marché par le PNUD, auquel cas les prix unitaires du marché seront maintenus. En concluant une modification qui prolonge la durée ou augmente la valeur d</w:t>
      </w:r>
      <w:r w:rsidR="001776DF">
        <w:rPr>
          <w:rFonts w:asciiTheme="majorHAnsi" w:hAnsiTheme="majorHAnsi"/>
        </w:rPr>
        <w:t>’</w:t>
      </w:r>
      <w:r>
        <w:rPr>
          <w:rFonts w:asciiTheme="majorHAnsi" w:hAnsiTheme="majorHAnsi"/>
        </w:rPr>
        <w:t>un marché, les étapes suivantes doivent être entreprises</w:t>
      </w:r>
      <w:r w:rsidR="001776DF">
        <w:rPr>
          <w:rFonts w:asciiTheme="majorHAnsi" w:hAnsiTheme="majorHAnsi"/>
        </w:rPr>
        <w:t> :</w:t>
      </w:r>
    </w:p>
    <w:p w14:paraId="7550F9AC" w14:textId="77777777" w:rsidR="00D05CE5" w:rsidRPr="00623F2C" w:rsidRDefault="00D05CE5" w:rsidP="00A80A0C">
      <w:pPr>
        <w:autoSpaceDE w:val="0"/>
        <w:autoSpaceDN w:val="0"/>
        <w:adjustRightInd w:val="0"/>
        <w:jc w:val="both"/>
        <w:rPr>
          <w:rFonts w:asciiTheme="majorHAnsi" w:eastAsiaTheme="minorEastAsia" w:hAnsiTheme="majorHAnsi" w:cs="Arial"/>
          <w:sz w:val="22"/>
          <w:szCs w:val="22"/>
        </w:rPr>
      </w:pPr>
    </w:p>
    <w:p w14:paraId="3E873970" w14:textId="73045402" w:rsidR="005175BC" w:rsidRDefault="005175BC" w:rsidP="00A80A0C">
      <w:pPr>
        <w:pStyle w:val="ListParagraph"/>
        <w:numPr>
          <w:ilvl w:val="0"/>
          <w:numId w:val="2"/>
        </w:numPr>
        <w:autoSpaceDE w:val="0"/>
        <w:autoSpaceDN w:val="0"/>
        <w:adjustRightInd w:val="0"/>
        <w:spacing w:line="240" w:lineRule="auto"/>
        <w:jc w:val="both"/>
        <w:rPr>
          <w:rFonts w:asciiTheme="majorHAnsi" w:hAnsiTheme="majorHAnsi" w:cs="Arial"/>
        </w:rPr>
      </w:pPr>
      <w:r>
        <w:rPr>
          <w:rFonts w:asciiTheme="majorHAnsi" w:hAnsiTheme="majorHAnsi"/>
        </w:rPr>
        <w:t xml:space="preserve">Un </w:t>
      </w:r>
      <w:hyperlink r:id="rId13" w:history="1">
        <w:r w:rsidRPr="004936F1">
          <w:rPr>
            <w:rStyle w:val="Hyperlink"/>
            <w:rFonts w:asciiTheme="majorHAnsi" w:hAnsiTheme="majorHAnsi"/>
          </w:rPr>
          <w:t>rapport d</w:t>
        </w:r>
        <w:r w:rsidR="001776DF" w:rsidRPr="004936F1">
          <w:rPr>
            <w:rStyle w:val="Hyperlink"/>
            <w:rFonts w:asciiTheme="majorHAnsi" w:hAnsiTheme="majorHAnsi"/>
          </w:rPr>
          <w:t>’</w:t>
        </w:r>
        <w:r w:rsidRPr="004936F1">
          <w:rPr>
            <w:rStyle w:val="Hyperlink"/>
            <w:rFonts w:asciiTheme="majorHAnsi" w:hAnsiTheme="majorHAnsi"/>
          </w:rPr>
          <w:t>évaluation des résultats du fournisseur satisfaisant</w:t>
        </w:r>
      </w:hyperlink>
      <w:r w:rsidR="00957977">
        <w:rPr>
          <w:rStyle w:val="Hyperlink"/>
          <w:rFonts w:asciiTheme="majorHAnsi" w:hAnsiTheme="majorHAnsi"/>
        </w:rPr>
        <w:t xml:space="preserve"> (en anglais)</w:t>
      </w:r>
      <w:r>
        <w:rPr>
          <w:rFonts w:asciiTheme="majorHAnsi" w:hAnsiTheme="majorHAnsi"/>
        </w:rPr>
        <w:t xml:space="preserve"> doit être conservé et tout document de garantie (par exemple, la garantie de bonne exécution) émis au moment du marché original doit être délivré de nouveau ou modifié, selon le cas, avec les nouveaux montants et la nouvelle durée</w:t>
      </w:r>
      <w:r w:rsidR="001776DF">
        <w:rPr>
          <w:rFonts w:asciiTheme="majorHAnsi" w:hAnsiTheme="majorHAnsi"/>
        </w:rPr>
        <w:t> ;</w:t>
      </w:r>
    </w:p>
    <w:p w14:paraId="64B36490" w14:textId="77777777" w:rsidR="00460828" w:rsidRPr="00623F2C" w:rsidRDefault="00460828" w:rsidP="00A80A0C">
      <w:pPr>
        <w:pStyle w:val="ListParagraph"/>
        <w:autoSpaceDE w:val="0"/>
        <w:autoSpaceDN w:val="0"/>
        <w:adjustRightInd w:val="0"/>
        <w:spacing w:line="240" w:lineRule="auto"/>
        <w:ind w:left="1800"/>
        <w:jc w:val="both"/>
        <w:rPr>
          <w:rFonts w:asciiTheme="majorHAnsi" w:hAnsiTheme="majorHAnsi" w:cs="Arial"/>
        </w:rPr>
      </w:pPr>
    </w:p>
    <w:p w14:paraId="5125D136" w14:textId="77777777" w:rsidR="005175BC" w:rsidRPr="00623F2C" w:rsidRDefault="00D05CE5" w:rsidP="00A80A0C">
      <w:pPr>
        <w:pStyle w:val="ListParagraph"/>
        <w:numPr>
          <w:ilvl w:val="0"/>
          <w:numId w:val="2"/>
        </w:numPr>
        <w:autoSpaceDE w:val="0"/>
        <w:autoSpaceDN w:val="0"/>
        <w:adjustRightInd w:val="0"/>
        <w:spacing w:line="240" w:lineRule="auto"/>
        <w:jc w:val="both"/>
        <w:rPr>
          <w:rFonts w:asciiTheme="majorHAnsi" w:hAnsiTheme="majorHAnsi" w:cs="Arial"/>
        </w:rPr>
      </w:pPr>
      <w:r>
        <w:rPr>
          <w:rFonts w:asciiTheme="majorHAnsi" w:hAnsiTheme="majorHAnsi"/>
        </w:rPr>
        <w:t>La justification de la modification doit être documentée dans une note au dossier, y compris une analyse de l</w:t>
      </w:r>
      <w:r w:rsidR="001776DF">
        <w:rPr>
          <w:rFonts w:asciiTheme="majorHAnsi" w:hAnsiTheme="majorHAnsi"/>
        </w:rPr>
        <w:t>’</w:t>
      </w:r>
      <w:r>
        <w:rPr>
          <w:rFonts w:asciiTheme="majorHAnsi" w:hAnsiTheme="majorHAnsi"/>
        </w:rPr>
        <w:t>optimisation des ressources et, le cas échéant, une évaluation comparative des coûts (étalonnage) doit être effectuée pour déterminer si les prix en vertu du marché sont toujours compétitifs et sont inférieurs aux coûts encourus si l</w:t>
      </w:r>
      <w:r w:rsidR="001776DF">
        <w:rPr>
          <w:rFonts w:asciiTheme="majorHAnsi" w:hAnsiTheme="majorHAnsi"/>
        </w:rPr>
        <w:t>’</w:t>
      </w:r>
      <w:r>
        <w:rPr>
          <w:rFonts w:asciiTheme="majorHAnsi" w:hAnsiTheme="majorHAnsi"/>
        </w:rPr>
        <w:t>unité administrative devait procéder à une mise en concurrence formelle</w:t>
      </w:r>
      <w:r w:rsidR="001776DF">
        <w:rPr>
          <w:rFonts w:asciiTheme="majorHAnsi" w:hAnsiTheme="majorHAnsi"/>
        </w:rPr>
        <w:t>.</w:t>
      </w:r>
    </w:p>
    <w:p w14:paraId="32D7E9D9" w14:textId="77777777" w:rsidR="003422A7" w:rsidRPr="00623F2C" w:rsidRDefault="003422A7" w:rsidP="00A80A0C">
      <w:pPr>
        <w:pStyle w:val="ListParagraph"/>
        <w:autoSpaceDE w:val="0"/>
        <w:autoSpaceDN w:val="0"/>
        <w:adjustRightInd w:val="0"/>
        <w:spacing w:line="240" w:lineRule="auto"/>
        <w:ind w:left="1080"/>
        <w:jc w:val="both"/>
        <w:rPr>
          <w:rFonts w:asciiTheme="majorHAnsi" w:hAnsiTheme="majorHAnsi" w:cs="Arial"/>
        </w:rPr>
      </w:pPr>
    </w:p>
    <w:p w14:paraId="2032EC85" w14:textId="5602EBD2" w:rsidR="00A16824" w:rsidRPr="00DE6097" w:rsidRDefault="00A16824" w:rsidP="00DE6097">
      <w:pPr>
        <w:pStyle w:val="ListParagraph"/>
        <w:numPr>
          <w:ilvl w:val="0"/>
          <w:numId w:val="30"/>
        </w:numPr>
        <w:spacing w:line="240" w:lineRule="auto"/>
        <w:ind w:left="1440"/>
        <w:jc w:val="both"/>
        <w:rPr>
          <w:rFonts w:asciiTheme="majorHAnsi" w:hAnsiTheme="majorHAnsi" w:cstheme="majorHAnsi"/>
        </w:rPr>
      </w:pPr>
      <w:r w:rsidRPr="00DE6097">
        <w:rPr>
          <w:rFonts w:asciiTheme="majorHAnsi" w:hAnsiTheme="majorHAnsi" w:cstheme="majorHAnsi"/>
        </w:rPr>
        <w:t xml:space="preserve">Les modifications doivent être documentées avec le </w:t>
      </w:r>
      <w:hyperlink r:id="rId14" w:history="1">
        <w:r w:rsidRPr="00DE6097">
          <w:rPr>
            <w:rStyle w:val="Hyperlink"/>
            <w:rFonts w:asciiTheme="majorHAnsi" w:hAnsiTheme="majorHAnsi" w:cstheme="majorHAnsi"/>
          </w:rPr>
          <w:t>modèle standard de modification de marché</w:t>
        </w:r>
      </w:hyperlink>
      <w:r w:rsidR="00957977">
        <w:rPr>
          <w:rStyle w:val="Hyperlink"/>
          <w:rFonts w:asciiTheme="majorHAnsi" w:hAnsiTheme="majorHAnsi" w:cstheme="majorHAnsi"/>
        </w:rPr>
        <w:t xml:space="preserve"> (en anglais)</w:t>
      </w:r>
      <w:r w:rsidRPr="00DE6097">
        <w:rPr>
          <w:rFonts w:asciiTheme="majorHAnsi" w:hAnsiTheme="majorHAnsi" w:cstheme="majorHAnsi"/>
        </w:rPr>
        <w:t>. Lors de l</w:t>
      </w:r>
      <w:r w:rsidR="001776DF" w:rsidRPr="00DE6097">
        <w:rPr>
          <w:rFonts w:asciiTheme="majorHAnsi" w:hAnsiTheme="majorHAnsi" w:cstheme="majorHAnsi"/>
        </w:rPr>
        <w:t>’</w:t>
      </w:r>
      <w:r w:rsidRPr="00DE6097">
        <w:rPr>
          <w:rFonts w:asciiTheme="majorHAnsi" w:hAnsiTheme="majorHAnsi" w:cstheme="majorHAnsi"/>
        </w:rPr>
        <w:t>achat de marchandises avec bon de commande, un bon de commande modifié ou un ordre de modification doit être délivré au fournisseur.</w:t>
      </w:r>
    </w:p>
    <w:p w14:paraId="5CA8771E" w14:textId="77777777" w:rsidR="00A16824" w:rsidRPr="00DE6097" w:rsidRDefault="00A16824" w:rsidP="00DE6097">
      <w:pPr>
        <w:pStyle w:val="ListParagraph"/>
        <w:spacing w:line="240" w:lineRule="auto"/>
        <w:ind w:left="1440"/>
        <w:jc w:val="both"/>
        <w:rPr>
          <w:rFonts w:asciiTheme="majorHAnsi" w:hAnsiTheme="majorHAnsi" w:cstheme="majorHAnsi"/>
        </w:rPr>
      </w:pPr>
    </w:p>
    <w:p w14:paraId="45EE9AB5" w14:textId="20198D74" w:rsidR="00A16824" w:rsidRPr="003B1F5E" w:rsidRDefault="00A16824" w:rsidP="00DE6097">
      <w:pPr>
        <w:pStyle w:val="ListParagraph"/>
        <w:numPr>
          <w:ilvl w:val="0"/>
          <w:numId w:val="30"/>
        </w:numPr>
        <w:spacing w:line="240" w:lineRule="auto"/>
        <w:ind w:left="1440"/>
        <w:jc w:val="both"/>
        <w:rPr>
          <w:rFonts w:asciiTheme="majorHAnsi" w:hAnsiTheme="majorHAnsi" w:cs="Arial"/>
        </w:rPr>
      </w:pPr>
      <w:r w:rsidRPr="00DE6097">
        <w:rPr>
          <w:rFonts w:asciiTheme="majorHAnsi" w:hAnsiTheme="majorHAnsi" w:cstheme="majorHAnsi"/>
        </w:rPr>
        <w:t xml:space="preserve">Les modifications au </w:t>
      </w:r>
      <w:r w:rsidR="00181190" w:rsidRPr="00DE6097">
        <w:rPr>
          <w:rFonts w:asciiTheme="majorHAnsi" w:hAnsiTheme="majorHAnsi" w:cstheme="majorHAnsi"/>
        </w:rPr>
        <w:t xml:space="preserve">contrat </w:t>
      </w:r>
      <w:r w:rsidRPr="00DE6097">
        <w:rPr>
          <w:rFonts w:asciiTheme="majorHAnsi" w:hAnsiTheme="majorHAnsi" w:cstheme="majorHAnsi"/>
        </w:rPr>
        <w:t>doivent être numéroté</w:t>
      </w:r>
      <w:r w:rsidR="007A3079" w:rsidRPr="00DE6097">
        <w:rPr>
          <w:rFonts w:asciiTheme="majorHAnsi" w:hAnsiTheme="majorHAnsi" w:cstheme="majorHAnsi"/>
        </w:rPr>
        <w:t>e</w:t>
      </w:r>
      <w:r w:rsidRPr="00DE6097">
        <w:rPr>
          <w:rFonts w:asciiTheme="majorHAnsi" w:hAnsiTheme="majorHAnsi" w:cstheme="majorHAnsi"/>
        </w:rPr>
        <w:t>s de façon séquentielle</w:t>
      </w:r>
      <w:r w:rsidR="001776DF" w:rsidRPr="00DE6097">
        <w:rPr>
          <w:rFonts w:asciiTheme="majorHAnsi" w:hAnsiTheme="majorHAnsi" w:cstheme="majorHAnsi"/>
        </w:rPr>
        <w:t> ;</w:t>
      </w:r>
      <w:r w:rsidRPr="00DE6097">
        <w:rPr>
          <w:rFonts w:asciiTheme="majorHAnsi" w:hAnsiTheme="majorHAnsi" w:cstheme="majorHAnsi"/>
        </w:rPr>
        <w:t xml:space="preserve"> les dates, la nature et la portée de chaque avenant doivent être clairement indiquées tel</w:t>
      </w:r>
      <w:r w:rsidR="007A3079" w:rsidRPr="00DE6097">
        <w:rPr>
          <w:rFonts w:asciiTheme="majorHAnsi" w:hAnsiTheme="majorHAnsi" w:cstheme="majorHAnsi"/>
        </w:rPr>
        <w:t>les</w:t>
      </w:r>
      <w:r w:rsidRPr="00DE6097">
        <w:rPr>
          <w:rFonts w:asciiTheme="majorHAnsi" w:hAnsiTheme="majorHAnsi" w:cstheme="majorHAnsi"/>
        </w:rPr>
        <w:t xml:space="preserve"> que requis</w:t>
      </w:r>
      <w:r w:rsidR="007A3079" w:rsidRPr="00DE6097">
        <w:rPr>
          <w:rFonts w:asciiTheme="majorHAnsi" w:hAnsiTheme="majorHAnsi" w:cstheme="majorHAnsi"/>
        </w:rPr>
        <w:t>es</w:t>
      </w:r>
      <w:r w:rsidRPr="00DE6097">
        <w:rPr>
          <w:rFonts w:asciiTheme="majorHAnsi" w:hAnsiTheme="majorHAnsi" w:cstheme="majorHAnsi"/>
        </w:rPr>
        <w:t xml:space="preserve"> dans le modèle et doivent inclure une déclaration selon laquelle toutes les autres modalités et conditions du marché</w:t>
      </w:r>
      <w:r>
        <w:rPr>
          <w:rFonts w:asciiTheme="majorHAnsi" w:hAnsiTheme="majorHAnsi"/>
        </w:rPr>
        <w:t xml:space="preserve"> doivent </w:t>
      </w:r>
      <w:r>
        <w:rPr>
          <w:rFonts w:asciiTheme="majorHAnsi" w:hAnsiTheme="majorHAnsi"/>
        </w:rPr>
        <w:lastRenderedPageBreak/>
        <w:t>demeurer inchangées, telles qu</w:t>
      </w:r>
      <w:r w:rsidR="001776DF">
        <w:rPr>
          <w:rFonts w:asciiTheme="majorHAnsi" w:hAnsiTheme="majorHAnsi"/>
        </w:rPr>
        <w:t>’</w:t>
      </w:r>
      <w:r>
        <w:rPr>
          <w:rFonts w:asciiTheme="majorHAnsi" w:hAnsiTheme="majorHAnsi"/>
        </w:rPr>
        <w:t>elles figurent dans le modèle de modification de marché. Les procédures pour la signature d</w:t>
      </w:r>
      <w:r w:rsidR="001776DF">
        <w:rPr>
          <w:rFonts w:asciiTheme="majorHAnsi" w:hAnsiTheme="majorHAnsi"/>
        </w:rPr>
        <w:t>’</w:t>
      </w:r>
      <w:r>
        <w:rPr>
          <w:rFonts w:asciiTheme="majorHAnsi" w:hAnsiTheme="majorHAnsi"/>
        </w:rPr>
        <w:t>une modification sont les mêmes que pour le marché initial.</w:t>
      </w:r>
    </w:p>
    <w:p w14:paraId="6DB1DF4D" w14:textId="77777777" w:rsidR="00A15C4E" w:rsidRPr="00A80A0C" w:rsidRDefault="00A15C4E" w:rsidP="00A80A0C">
      <w:pPr>
        <w:autoSpaceDE w:val="0"/>
        <w:autoSpaceDN w:val="0"/>
        <w:adjustRightInd w:val="0"/>
        <w:jc w:val="both"/>
        <w:rPr>
          <w:rFonts w:asciiTheme="majorHAnsi" w:eastAsia="ArialMT" w:hAnsiTheme="majorHAnsi"/>
          <w:sz w:val="22"/>
          <w:szCs w:val="22"/>
        </w:rPr>
      </w:pPr>
    </w:p>
    <w:p w14:paraId="5BD08D19" w14:textId="77777777" w:rsidR="00030C5D" w:rsidRPr="001B37EA" w:rsidRDefault="00FA05B0" w:rsidP="00DB3D39">
      <w:pPr>
        <w:ind w:firstLine="720"/>
        <w:rPr>
          <w:rFonts w:asciiTheme="majorHAnsi" w:hAnsiTheme="majorHAnsi" w:cs="Arial"/>
        </w:rPr>
      </w:pPr>
      <w:r>
        <w:rPr>
          <w:rFonts w:asciiTheme="majorHAnsi" w:hAnsiTheme="majorHAnsi"/>
          <w:b/>
          <w:sz w:val="22"/>
          <w:szCs w:val="22"/>
        </w:rPr>
        <w:t>Évaluation des résultats</w:t>
      </w:r>
    </w:p>
    <w:p w14:paraId="6AC1E94C" w14:textId="77777777" w:rsidR="00277DE2" w:rsidRPr="00A80A0C" w:rsidRDefault="00277DE2" w:rsidP="00A80A0C">
      <w:pPr>
        <w:pStyle w:val="ListParagraph"/>
        <w:autoSpaceDE w:val="0"/>
        <w:autoSpaceDN w:val="0"/>
        <w:adjustRightInd w:val="0"/>
        <w:spacing w:line="240" w:lineRule="auto"/>
        <w:jc w:val="both"/>
        <w:rPr>
          <w:rFonts w:asciiTheme="majorHAnsi" w:hAnsiTheme="majorHAnsi" w:cs="Arial"/>
        </w:rPr>
      </w:pPr>
    </w:p>
    <w:p w14:paraId="2C1FF40F" w14:textId="6DBE443C" w:rsidR="00A72FCB" w:rsidRPr="00623F2C" w:rsidRDefault="001C5FE1" w:rsidP="00A80A0C">
      <w:pPr>
        <w:pStyle w:val="ListParagraph"/>
        <w:numPr>
          <w:ilvl w:val="0"/>
          <w:numId w:val="28"/>
        </w:numPr>
        <w:autoSpaceDE w:val="0"/>
        <w:autoSpaceDN w:val="0"/>
        <w:adjustRightInd w:val="0"/>
        <w:spacing w:line="240" w:lineRule="auto"/>
        <w:jc w:val="both"/>
        <w:rPr>
          <w:rFonts w:asciiTheme="majorHAnsi" w:hAnsiTheme="majorHAnsi" w:cs="Arial"/>
        </w:rPr>
      </w:pPr>
      <w:r>
        <w:rPr>
          <w:rFonts w:asciiTheme="majorHAnsi" w:hAnsiTheme="majorHAnsi"/>
        </w:rPr>
        <w:t>L</w:t>
      </w:r>
      <w:r w:rsidR="001776DF">
        <w:rPr>
          <w:rFonts w:asciiTheme="majorHAnsi" w:hAnsiTheme="majorHAnsi"/>
        </w:rPr>
        <w:t>’</w:t>
      </w:r>
      <w:r>
        <w:rPr>
          <w:rFonts w:asciiTheme="majorHAnsi" w:hAnsiTheme="majorHAnsi"/>
        </w:rPr>
        <w:t>évaluation des résultats doit être effectuée à la fin de la prestation des services et des biens ou travaux requis, et avant que [toute] modification puisse être apportée. Il s</w:t>
      </w:r>
      <w:r w:rsidR="001776DF">
        <w:rPr>
          <w:rFonts w:asciiTheme="majorHAnsi" w:hAnsiTheme="majorHAnsi"/>
        </w:rPr>
        <w:t>’</w:t>
      </w:r>
      <w:r>
        <w:rPr>
          <w:rFonts w:asciiTheme="majorHAnsi" w:hAnsiTheme="majorHAnsi"/>
        </w:rPr>
        <w:t>agit d</w:t>
      </w:r>
      <w:r w:rsidR="001776DF">
        <w:rPr>
          <w:rFonts w:asciiTheme="majorHAnsi" w:hAnsiTheme="majorHAnsi"/>
        </w:rPr>
        <w:t>’</w:t>
      </w:r>
      <w:r>
        <w:rPr>
          <w:rFonts w:asciiTheme="majorHAnsi" w:hAnsiTheme="majorHAnsi"/>
        </w:rPr>
        <w:t xml:space="preserve">évaluer le respect des exigences contractuelles par le fournisseur depuis le début de la mise en œuvre du </w:t>
      </w:r>
      <w:r w:rsidR="004B1025">
        <w:rPr>
          <w:rFonts w:asciiTheme="majorHAnsi" w:hAnsiTheme="majorHAnsi"/>
        </w:rPr>
        <w:t>contrat jusqu’à</w:t>
      </w:r>
      <w:r>
        <w:rPr>
          <w:rFonts w:asciiTheme="majorHAnsi" w:hAnsiTheme="majorHAnsi"/>
        </w:rPr>
        <w:t xml:space="preserve"> la fin des termes du marché ou au moment de la demande de modification. L</w:t>
      </w:r>
      <w:r w:rsidR="001776DF">
        <w:rPr>
          <w:rFonts w:asciiTheme="majorHAnsi" w:hAnsiTheme="majorHAnsi"/>
        </w:rPr>
        <w:t>’</w:t>
      </w:r>
      <w:r w:rsidR="000721FF">
        <w:rPr>
          <w:rFonts w:asciiTheme="majorHAnsi" w:hAnsiTheme="majorHAnsi"/>
        </w:rPr>
        <w:t>unité requérante</w:t>
      </w:r>
      <w:r>
        <w:rPr>
          <w:rFonts w:asciiTheme="majorHAnsi" w:hAnsiTheme="majorHAnsi"/>
        </w:rPr>
        <w:t xml:space="preserve"> est principalement chargée de la conduite de l</w:t>
      </w:r>
      <w:r w:rsidR="001776DF">
        <w:rPr>
          <w:rFonts w:asciiTheme="majorHAnsi" w:hAnsiTheme="majorHAnsi"/>
        </w:rPr>
        <w:t>’</w:t>
      </w:r>
      <w:r>
        <w:rPr>
          <w:rFonts w:asciiTheme="majorHAnsi" w:hAnsiTheme="majorHAnsi"/>
        </w:rPr>
        <w:t>évaluation des résultats, mais elle doit obtenir les informations de l</w:t>
      </w:r>
      <w:r w:rsidR="001776DF">
        <w:rPr>
          <w:rFonts w:asciiTheme="majorHAnsi" w:hAnsiTheme="majorHAnsi"/>
        </w:rPr>
        <w:t>’</w:t>
      </w:r>
      <w:r>
        <w:rPr>
          <w:rFonts w:asciiTheme="majorHAnsi" w:hAnsiTheme="majorHAnsi"/>
        </w:rPr>
        <w:t>unité chargée des achats et de l</w:t>
      </w:r>
      <w:r w:rsidR="001776DF">
        <w:rPr>
          <w:rFonts w:asciiTheme="majorHAnsi" w:hAnsiTheme="majorHAnsi"/>
        </w:rPr>
        <w:t>’</w:t>
      </w:r>
      <w:r>
        <w:rPr>
          <w:rFonts w:asciiTheme="majorHAnsi" w:hAnsiTheme="majorHAnsi"/>
        </w:rPr>
        <w:t>utilisateur final, le cas échéant.</w:t>
      </w:r>
    </w:p>
    <w:p w14:paraId="60E2A90E" w14:textId="77777777" w:rsidR="002E2BCB" w:rsidRPr="00623F2C" w:rsidRDefault="002E2BCB" w:rsidP="00A80A0C">
      <w:pPr>
        <w:pStyle w:val="ListParagraph"/>
        <w:autoSpaceDE w:val="0"/>
        <w:autoSpaceDN w:val="0"/>
        <w:adjustRightInd w:val="0"/>
        <w:spacing w:line="240" w:lineRule="auto"/>
        <w:jc w:val="both"/>
        <w:rPr>
          <w:rFonts w:asciiTheme="majorHAnsi" w:hAnsiTheme="majorHAnsi" w:cs="Arial"/>
        </w:rPr>
      </w:pPr>
    </w:p>
    <w:p w14:paraId="727C7478" w14:textId="77777777" w:rsidR="00030C5D" w:rsidRPr="00BE526E" w:rsidRDefault="00FA05B0" w:rsidP="00A80A0C">
      <w:pPr>
        <w:pStyle w:val="ListParagraph"/>
        <w:autoSpaceDE w:val="0"/>
        <w:autoSpaceDN w:val="0"/>
        <w:adjustRightInd w:val="0"/>
        <w:spacing w:line="240" w:lineRule="auto"/>
        <w:jc w:val="both"/>
        <w:rPr>
          <w:rFonts w:asciiTheme="majorHAnsi" w:hAnsiTheme="majorHAnsi" w:cstheme="majorHAnsi"/>
          <w:b/>
        </w:rPr>
      </w:pPr>
      <w:r w:rsidRPr="00BE526E">
        <w:rPr>
          <w:rFonts w:asciiTheme="majorHAnsi" w:hAnsiTheme="majorHAnsi" w:cstheme="majorHAnsi"/>
          <w:b/>
        </w:rPr>
        <w:t>Conduite de l</w:t>
      </w:r>
      <w:r w:rsidR="001776DF">
        <w:rPr>
          <w:rFonts w:asciiTheme="majorHAnsi" w:hAnsiTheme="majorHAnsi" w:cstheme="majorHAnsi"/>
          <w:b/>
        </w:rPr>
        <w:t>’</w:t>
      </w:r>
      <w:r w:rsidRPr="00BE526E">
        <w:rPr>
          <w:rFonts w:asciiTheme="majorHAnsi" w:hAnsiTheme="majorHAnsi" w:cstheme="majorHAnsi"/>
          <w:b/>
        </w:rPr>
        <w:t>évaluation des résultats</w:t>
      </w:r>
    </w:p>
    <w:p w14:paraId="2B8D1F7F" w14:textId="77777777" w:rsidR="002E2BCB" w:rsidRPr="00BE526E" w:rsidRDefault="002E2BCB" w:rsidP="00A80A0C">
      <w:pPr>
        <w:pStyle w:val="ListParagraph"/>
        <w:autoSpaceDE w:val="0"/>
        <w:autoSpaceDN w:val="0"/>
        <w:adjustRightInd w:val="0"/>
        <w:spacing w:line="240" w:lineRule="auto"/>
        <w:jc w:val="both"/>
        <w:rPr>
          <w:rFonts w:asciiTheme="majorHAnsi" w:hAnsiTheme="majorHAnsi" w:cstheme="majorHAnsi"/>
          <w:b/>
        </w:rPr>
      </w:pPr>
    </w:p>
    <w:p w14:paraId="5FFE275F" w14:textId="5A8ED695" w:rsidR="00D5472B" w:rsidRPr="00BE526E" w:rsidRDefault="00D048C0" w:rsidP="00A80A0C">
      <w:pPr>
        <w:pStyle w:val="ListParagraph"/>
        <w:numPr>
          <w:ilvl w:val="0"/>
          <w:numId w:val="31"/>
        </w:numPr>
        <w:autoSpaceDE w:val="0"/>
        <w:autoSpaceDN w:val="0"/>
        <w:adjustRightInd w:val="0"/>
        <w:spacing w:line="240" w:lineRule="auto"/>
        <w:jc w:val="both"/>
        <w:rPr>
          <w:rFonts w:asciiTheme="majorHAnsi" w:hAnsiTheme="majorHAnsi" w:cstheme="majorHAnsi"/>
        </w:rPr>
      </w:pPr>
      <w:r w:rsidRPr="00BE526E">
        <w:rPr>
          <w:rFonts w:asciiTheme="majorHAnsi" w:hAnsiTheme="majorHAnsi" w:cstheme="majorHAnsi"/>
        </w:rPr>
        <w:t>L</w:t>
      </w:r>
      <w:r w:rsidR="001776DF">
        <w:rPr>
          <w:rFonts w:asciiTheme="majorHAnsi" w:hAnsiTheme="majorHAnsi" w:cstheme="majorHAnsi"/>
        </w:rPr>
        <w:t>’</w:t>
      </w:r>
      <w:r w:rsidRPr="00BE526E">
        <w:rPr>
          <w:rFonts w:asciiTheme="majorHAnsi" w:hAnsiTheme="majorHAnsi" w:cstheme="majorHAnsi"/>
        </w:rPr>
        <w:t>évaluation des résultats doit être conforme aux exigences du marché et inclure, sans toutefois s</w:t>
      </w:r>
      <w:r w:rsidR="001776DF">
        <w:rPr>
          <w:rFonts w:asciiTheme="majorHAnsi" w:hAnsiTheme="majorHAnsi" w:cstheme="majorHAnsi"/>
        </w:rPr>
        <w:t>’</w:t>
      </w:r>
      <w:r w:rsidRPr="00BE526E">
        <w:rPr>
          <w:rFonts w:asciiTheme="majorHAnsi" w:hAnsiTheme="majorHAnsi" w:cstheme="majorHAnsi"/>
        </w:rPr>
        <w:t xml:space="preserve">y limiter, les aspects suivants du marché qui sont indiqués dans le </w:t>
      </w:r>
      <w:hyperlink r:id="rId15" w:history="1">
        <w:r w:rsidRPr="00BE526E">
          <w:rPr>
            <w:rStyle w:val="Hyperlink"/>
            <w:rFonts w:asciiTheme="majorHAnsi" w:hAnsiTheme="majorHAnsi" w:cstheme="majorHAnsi"/>
          </w:rPr>
          <w:t>modèle d'évaluation des résultats</w:t>
        </w:r>
      </w:hyperlink>
      <w:r w:rsidR="00957977">
        <w:rPr>
          <w:rStyle w:val="Hyperlink"/>
          <w:rFonts w:asciiTheme="majorHAnsi" w:hAnsiTheme="majorHAnsi" w:cstheme="majorHAnsi"/>
        </w:rPr>
        <w:t xml:space="preserve"> (en anglais)</w:t>
      </w:r>
      <w:r w:rsidR="001776DF">
        <w:rPr>
          <w:rFonts w:asciiTheme="majorHAnsi" w:hAnsiTheme="majorHAnsi" w:cstheme="majorHAnsi"/>
        </w:rPr>
        <w:t> :</w:t>
      </w:r>
    </w:p>
    <w:p w14:paraId="3439585B" w14:textId="77777777" w:rsidR="00DD5407" w:rsidRPr="00BE526E" w:rsidRDefault="00DD5407">
      <w:pPr>
        <w:autoSpaceDE w:val="0"/>
        <w:autoSpaceDN w:val="0"/>
        <w:adjustRightInd w:val="0"/>
        <w:ind w:left="720"/>
        <w:jc w:val="both"/>
        <w:rPr>
          <w:rFonts w:asciiTheme="majorHAnsi" w:hAnsiTheme="majorHAnsi" w:cstheme="majorHAnsi"/>
          <w:sz w:val="22"/>
          <w:szCs w:val="22"/>
        </w:rPr>
      </w:pPr>
    </w:p>
    <w:p w14:paraId="16FF63AB" w14:textId="77777777" w:rsidR="00D5472B" w:rsidRPr="00BE526E" w:rsidRDefault="00E5600B" w:rsidP="00A80A0C">
      <w:pPr>
        <w:pStyle w:val="ListParagraph"/>
        <w:numPr>
          <w:ilvl w:val="0"/>
          <w:numId w:val="4"/>
        </w:numPr>
        <w:spacing w:line="240" w:lineRule="auto"/>
        <w:ind w:left="2160"/>
        <w:jc w:val="both"/>
        <w:rPr>
          <w:rFonts w:asciiTheme="majorHAnsi" w:hAnsiTheme="majorHAnsi" w:cstheme="majorHAnsi"/>
        </w:rPr>
      </w:pPr>
      <w:r w:rsidRPr="00BE526E">
        <w:rPr>
          <w:rFonts w:asciiTheme="majorHAnsi" w:hAnsiTheme="majorHAnsi" w:cstheme="majorHAnsi"/>
        </w:rPr>
        <w:t>Respect de l</w:t>
      </w:r>
      <w:r w:rsidR="001776DF">
        <w:rPr>
          <w:rFonts w:asciiTheme="majorHAnsi" w:hAnsiTheme="majorHAnsi" w:cstheme="majorHAnsi"/>
        </w:rPr>
        <w:t>’</w:t>
      </w:r>
      <w:r w:rsidRPr="00BE526E">
        <w:rPr>
          <w:rFonts w:asciiTheme="majorHAnsi" w:hAnsiTheme="majorHAnsi" w:cstheme="majorHAnsi"/>
        </w:rPr>
        <w:t>échéancier de livraison, livraison dans les délais</w:t>
      </w:r>
    </w:p>
    <w:p w14:paraId="5E9F4AF8" w14:textId="77777777" w:rsidR="00460828" w:rsidRPr="00623F2C" w:rsidRDefault="00460828" w:rsidP="00A80A0C">
      <w:pPr>
        <w:pStyle w:val="ListParagraph"/>
        <w:spacing w:line="240" w:lineRule="auto"/>
        <w:ind w:left="2160"/>
        <w:jc w:val="both"/>
        <w:rPr>
          <w:rFonts w:asciiTheme="majorHAnsi" w:hAnsiTheme="majorHAnsi" w:cs="Arial"/>
        </w:rPr>
      </w:pPr>
    </w:p>
    <w:p w14:paraId="200C009C" w14:textId="77777777" w:rsidR="00D5472B" w:rsidRPr="00623F2C" w:rsidRDefault="00D5472B" w:rsidP="00A80A0C">
      <w:pPr>
        <w:pStyle w:val="ListParagraph"/>
        <w:numPr>
          <w:ilvl w:val="0"/>
          <w:numId w:val="4"/>
        </w:numPr>
        <w:spacing w:line="240" w:lineRule="auto"/>
        <w:ind w:left="2160"/>
        <w:jc w:val="both"/>
        <w:rPr>
          <w:rFonts w:asciiTheme="majorHAnsi" w:hAnsiTheme="majorHAnsi" w:cs="Arial"/>
        </w:rPr>
      </w:pPr>
      <w:r>
        <w:rPr>
          <w:rFonts w:asciiTheme="majorHAnsi" w:hAnsiTheme="majorHAnsi"/>
        </w:rPr>
        <w:t>Respect des conditions contractuelles</w:t>
      </w:r>
    </w:p>
    <w:p w14:paraId="07802576" w14:textId="77777777" w:rsidR="00460828" w:rsidRDefault="00460828" w:rsidP="00A80A0C">
      <w:pPr>
        <w:pStyle w:val="ListParagraph"/>
        <w:spacing w:line="240" w:lineRule="auto"/>
        <w:ind w:left="2160"/>
        <w:jc w:val="both"/>
        <w:rPr>
          <w:rFonts w:asciiTheme="majorHAnsi" w:hAnsiTheme="majorHAnsi" w:cs="Arial"/>
        </w:rPr>
      </w:pPr>
    </w:p>
    <w:p w14:paraId="5A29C99A" w14:textId="77777777" w:rsidR="00D5472B" w:rsidRPr="00623F2C" w:rsidRDefault="00D5472B" w:rsidP="00A80A0C">
      <w:pPr>
        <w:pStyle w:val="ListParagraph"/>
        <w:numPr>
          <w:ilvl w:val="0"/>
          <w:numId w:val="4"/>
        </w:numPr>
        <w:spacing w:line="240" w:lineRule="auto"/>
        <w:ind w:left="2160"/>
        <w:jc w:val="both"/>
        <w:rPr>
          <w:rFonts w:asciiTheme="majorHAnsi" w:hAnsiTheme="majorHAnsi" w:cs="Arial"/>
        </w:rPr>
      </w:pPr>
      <w:r>
        <w:rPr>
          <w:rFonts w:asciiTheme="majorHAnsi" w:hAnsiTheme="majorHAnsi"/>
        </w:rPr>
        <w:t>Respect des dispositions de garantie</w:t>
      </w:r>
    </w:p>
    <w:p w14:paraId="1027F975" w14:textId="77777777" w:rsidR="00460828" w:rsidRPr="001B37EA" w:rsidRDefault="00460828" w:rsidP="00A80A0C">
      <w:pPr>
        <w:pStyle w:val="ListParagraph"/>
        <w:spacing w:line="240" w:lineRule="auto"/>
        <w:ind w:left="2160"/>
        <w:jc w:val="both"/>
        <w:rPr>
          <w:rFonts w:asciiTheme="majorHAnsi" w:hAnsiTheme="majorHAnsi" w:cs="Arial"/>
        </w:rPr>
      </w:pPr>
    </w:p>
    <w:p w14:paraId="6899AF2E" w14:textId="77777777" w:rsidR="00D5472B" w:rsidRPr="00623F2C" w:rsidRDefault="00DD5407" w:rsidP="00A80A0C">
      <w:pPr>
        <w:pStyle w:val="ListParagraph"/>
        <w:numPr>
          <w:ilvl w:val="0"/>
          <w:numId w:val="4"/>
        </w:numPr>
        <w:spacing w:line="240" w:lineRule="auto"/>
        <w:ind w:left="2160"/>
        <w:jc w:val="both"/>
        <w:rPr>
          <w:rFonts w:asciiTheme="majorHAnsi" w:hAnsiTheme="majorHAnsi" w:cs="Arial"/>
        </w:rPr>
      </w:pPr>
      <w:r>
        <w:rPr>
          <w:rFonts w:asciiTheme="majorHAnsi" w:hAnsiTheme="majorHAnsi"/>
        </w:rPr>
        <w:t>Respect des exigences sociales et environnementales</w:t>
      </w:r>
    </w:p>
    <w:p w14:paraId="6AE261F5" w14:textId="77777777" w:rsidR="00460828" w:rsidRDefault="00460828" w:rsidP="00A80A0C">
      <w:pPr>
        <w:pStyle w:val="ListParagraph"/>
        <w:spacing w:line="240" w:lineRule="auto"/>
        <w:ind w:left="2160"/>
        <w:jc w:val="both"/>
        <w:rPr>
          <w:rFonts w:asciiTheme="majorHAnsi" w:hAnsiTheme="majorHAnsi" w:cs="Arial"/>
        </w:rPr>
      </w:pPr>
    </w:p>
    <w:p w14:paraId="09D4E393" w14:textId="77777777" w:rsidR="00D5472B" w:rsidRPr="00623F2C" w:rsidRDefault="00D5472B" w:rsidP="00A80A0C">
      <w:pPr>
        <w:pStyle w:val="ListParagraph"/>
        <w:numPr>
          <w:ilvl w:val="0"/>
          <w:numId w:val="4"/>
        </w:numPr>
        <w:spacing w:line="240" w:lineRule="auto"/>
        <w:ind w:left="2160"/>
        <w:jc w:val="both"/>
        <w:rPr>
          <w:rFonts w:asciiTheme="majorHAnsi" w:hAnsiTheme="majorHAnsi" w:cs="Arial"/>
        </w:rPr>
      </w:pPr>
      <w:r>
        <w:rPr>
          <w:rFonts w:asciiTheme="majorHAnsi" w:hAnsiTheme="majorHAnsi"/>
        </w:rPr>
        <w:t>Qualité des biens ou services fournis conformément au marché</w:t>
      </w:r>
    </w:p>
    <w:p w14:paraId="472B43B6" w14:textId="77777777" w:rsidR="00460828" w:rsidRDefault="00460828" w:rsidP="00A80A0C">
      <w:pPr>
        <w:pStyle w:val="ListParagraph"/>
        <w:spacing w:line="240" w:lineRule="auto"/>
        <w:ind w:left="2160"/>
        <w:jc w:val="both"/>
        <w:rPr>
          <w:rFonts w:asciiTheme="majorHAnsi" w:hAnsiTheme="majorHAnsi" w:cs="Arial"/>
        </w:rPr>
      </w:pPr>
    </w:p>
    <w:p w14:paraId="61D177A1" w14:textId="77777777" w:rsidR="00D5472B" w:rsidRPr="00623F2C" w:rsidRDefault="00D5472B" w:rsidP="00A80A0C">
      <w:pPr>
        <w:pStyle w:val="ListParagraph"/>
        <w:numPr>
          <w:ilvl w:val="0"/>
          <w:numId w:val="4"/>
        </w:numPr>
        <w:spacing w:line="240" w:lineRule="auto"/>
        <w:ind w:left="2160"/>
        <w:jc w:val="both"/>
        <w:rPr>
          <w:rFonts w:asciiTheme="majorHAnsi" w:hAnsiTheme="majorHAnsi" w:cs="Arial"/>
        </w:rPr>
      </w:pPr>
      <w:r>
        <w:rPr>
          <w:rFonts w:asciiTheme="majorHAnsi" w:hAnsiTheme="majorHAnsi"/>
        </w:rPr>
        <w:t>Réponse rapide aux demandes du PNUD</w:t>
      </w:r>
    </w:p>
    <w:p w14:paraId="3BE74583" w14:textId="77777777" w:rsidR="00460828" w:rsidRDefault="00460828" w:rsidP="00A80A0C">
      <w:pPr>
        <w:pStyle w:val="ListParagraph"/>
        <w:spacing w:line="240" w:lineRule="auto"/>
        <w:ind w:left="2160"/>
        <w:jc w:val="both"/>
        <w:rPr>
          <w:rFonts w:asciiTheme="majorHAnsi" w:hAnsiTheme="majorHAnsi" w:cs="Arial"/>
        </w:rPr>
      </w:pPr>
    </w:p>
    <w:p w14:paraId="32628D41" w14:textId="77777777" w:rsidR="00D5472B" w:rsidRPr="00623F2C" w:rsidRDefault="00D5472B" w:rsidP="00A80A0C">
      <w:pPr>
        <w:pStyle w:val="ListParagraph"/>
        <w:numPr>
          <w:ilvl w:val="0"/>
          <w:numId w:val="4"/>
        </w:numPr>
        <w:spacing w:line="240" w:lineRule="auto"/>
        <w:ind w:left="2160"/>
        <w:jc w:val="both"/>
        <w:rPr>
          <w:rFonts w:asciiTheme="majorHAnsi" w:hAnsiTheme="majorHAnsi" w:cs="Arial"/>
        </w:rPr>
      </w:pPr>
      <w:r>
        <w:rPr>
          <w:rFonts w:asciiTheme="majorHAnsi" w:hAnsiTheme="majorHAnsi"/>
        </w:rPr>
        <w:t>Retard injustifié dans l</w:t>
      </w:r>
      <w:r w:rsidR="001776DF">
        <w:rPr>
          <w:rFonts w:asciiTheme="majorHAnsi" w:hAnsiTheme="majorHAnsi"/>
        </w:rPr>
        <w:t>’</w:t>
      </w:r>
      <w:r>
        <w:rPr>
          <w:rFonts w:asciiTheme="majorHAnsi" w:hAnsiTheme="majorHAnsi"/>
        </w:rPr>
        <w:t>exécution du marché</w:t>
      </w:r>
    </w:p>
    <w:p w14:paraId="09D1C837" w14:textId="77777777" w:rsidR="00460828" w:rsidRDefault="00460828" w:rsidP="00A80A0C">
      <w:pPr>
        <w:pStyle w:val="ListParagraph"/>
        <w:spacing w:line="240" w:lineRule="auto"/>
        <w:ind w:left="2160"/>
        <w:jc w:val="both"/>
        <w:rPr>
          <w:rFonts w:asciiTheme="majorHAnsi" w:hAnsiTheme="majorHAnsi" w:cs="Arial"/>
        </w:rPr>
      </w:pPr>
    </w:p>
    <w:p w14:paraId="4FFA920A" w14:textId="77777777" w:rsidR="00D5472B" w:rsidRPr="00623F2C" w:rsidRDefault="00B72792" w:rsidP="00A80A0C">
      <w:pPr>
        <w:pStyle w:val="ListParagraph"/>
        <w:numPr>
          <w:ilvl w:val="0"/>
          <w:numId w:val="4"/>
        </w:numPr>
        <w:spacing w:line="240" w:lineRule="auto"/>
        <w:ind w:left="2160"/>
        <w:jc w:val="both"/>
        <w:rPr>
          <w:rFonts w:asciiTheme="majorHAnsi" w:hAnsiTheme="majorHAnsi" w:cs="Arial"/>
        </w:rPr>
      </w:pPr>
      <w:r>
        <w:rPr>
          <w:rFonts w:asciiTheme="majorHAnsi" w:hAnsiTheme="majorHAnsi"/>
        </w:rPr>
        <w:t>Existence de toute réclamation contre le PNUD par le fournisseur</w:t>
      </w:r>
    </w:p>
    <w:p w14:paraId="5AC15BFA" w14:textId="77777777" w:rsidR="00460828" w:rsidRDefault="00460828" w:rsidP="00A80A0C">
      <w:pPr>
        <w:pStyle w:val="ListParagraph"/>
        <w:spacing w:line="240" w:lineRule="auto"/>
        <w:ind w:left="2160"/>
        <w:jc w:val="both"/>
        <w:rPr>
          <w:rFonts w:asciiTheme="majorHAnsi" w:hAnsiTheme="majorHAnsi" w:cs="Arial"/>
        </w:rPr>
      </w:pPr>
    </w:p>
    <w:p w14:paraId="46F27790" w14:textId="77777777" w:rsidR="00D5472B" w:rsidRPr="00623F2C" w:rsidRDefault="00D5472B" w:rsidP="00A80A0C">
      <w:pPr>
        <w:pStyle w:val="ListParagraph"/>
        <w:numPr>
          <w:ilvl w:val="0"/>
          <w:numId w:val="4"/>
        </w:numPr>
        <w:spacing w:line="240" w:lineRule="auto"/>
        <w:ind w:left="2160"/>
        <w:jc w:val="both"/>
        <w:rPr>
          <w:rFonts w:asciiTheme="majorHAnsi" w:hAnsiTheme="majorHAnsi" w:cs="Arial"/>
        </w:rPr>
      </w:pPr>
      <w:r>
        <w:rPr>
          <w:rFonts w:asciiTheme="majorHAnsi" w:hAnsiTheme="majorHAnsi"/>
        </w:rPr>
        <w:t>Défaut de divulguer des informations pertinentes pour les résultats telles que la faillite ou des litiges en cours.</w:t>
      </w:r>
    </w:p>
    <w:p w14:paraId="5EE19ECF" w14:textId="77777777" w:rsidR="00D24A2D" w:rsidRPr="00623F2C" w:rsidRDefault="00D24A2D" w:rsidP="00A80A0C">
      <w:pPr>
        <w:pStyle w:val="ListParagraph"/>
        <w:spacing w:line="240" w:lineRule="auto"/>
        <w:ind w:left="1440"/>
        <w:jc w:val="both"/>
        <w:rPr>
          <w:rFonts w:asciiTheme="majorHAnsi" w:hAnsiTheme="majorHAnsi" w:cs="Arial"/>
        </w:rPr>
      </w:pPr>
    </w:p>
    <w:p w14:paraId="109660B1" w14:textId="77777777" w:rsidR="00A15C4E" w:rsidRPr="00A80A0C" w:rsidRDefault="00A15C4E" w:rsidP="00A80A0C">
      <w:pPr>
        <w:pStyle w:val="ListParagraph"/>
        <w:numPr>
          <w:ilvl w:val="0"/>
          <w:numId w:val="31"/>
        </w:numPr>
        <w:spacing w:line="240" w:lineRule="auto"/>
        <w:jc w:val="both"/>
        <w:rPr>
          <w:rFonts w:asciiTheme="majorHAnsi" w:hAnsiTheme="majorHAnsi" w:cs="Arial"/>
        </w:rPr>
      </w:pPr>
      <w:r>
        <w:rPr>
          <w:rFonts w:asciiTheme="majorHAnsi" w:hAnsiTheme="majorHAnsi"/>
        </w:rPr>
        <w:t>Les unités administratives peuvent vérifier les aspects ci-dessus du marché en envoyant un questionnaire aux utilisateurs finaux ou en effectuant des visites de site.</w:t>
      </w:r>
    </w:p>
    <w:p w14:paraId="74081295" w14:textId="77777777" w:rsidR="00C731EA" w:rsidRPr="00623F2C" w:rsidRDefault="00C731EA" w:rsidP="00A80A0C">
      <w:pPr>
        <w:pStyle w:val="ListParagraph"/>
        <w:autoSpaceDE w:val="0"/>
        <w:autoSpaceDN w:val="0"/>
        <w:adjustRightInd w:val="0"/>
        <w:spacing w:line="240" w:lineRule="auto"/>
        <w:ind w:left="0"/>
        <w:jc w:val="both"/>
        <w:rPr>
          <w:rFonts w:asciiTheme="majorHAnsi" w:hAnsiTheme="majorHAnsi" w:cs="Arial"/>
        </w:rPr>
      </w:pPr>
    </w:p>
    <w:p w14:paraId="74BDC561" w14:textId="77777777" w:rsidR="00B30D2B" w:rsidRPr="00544CB5" w:rsidRDefault="00F63862" w:rsidP="00A80A0C">
      <w:pPr>
        <w:pStyle w:val="ListParagraph"/>
        <w:numPr>
          <w:ilvl w:val="0"/>
          <w:numId w:val="31"/>
        </w:numPr>
        <w:autoSpaceDE w:val="0"/>
        <w:autoSpaceDN w:val="0"/>
        <w:adjustRightInd w:val="0"/>
        <w:spacing w:line="240" w:lineRule="auto"/>
        <w:jc w:val="both"/>
        <w:rPr>
          <w:rFonts w:asciiTheme="majorHAnsi" w:hAnsiTheme="majorHAnsi" w:cs="Arial"/>
        </w:rPr>
      </w:pPr>
      <w:r>
        <w:rPr>
          <w:rFonts w:asciiTheme="majorHAnsi" w:hAnsiTheme="majorHAnsi"/>
        </w:rPr>
        <w:t>Les documents d</w:t>
      </w:r>
      <w:r w:rsidR="001776DF">
        <w:rPr>
          <w:rFonts w:asciiTheme="majorHAnsi" w:hAnsiTheme="majorHAnsi"/>
        </w:rPr>
        <w:t>’</w:t>
      </w:r>
      <w:r>
        <w:rPr>
          <w:rFonts w:asciiTheme="majorHAnsi" w:hAnsiTheme="majorHAnsi"/>
        </w:rPr>
        <w:t>évaluation des résultats doivent être dûment classés et conservés et doivent être consultés lorsqu</w:t>
      </w:r>
      <w:r w:rsidR="001776DF">
        <w:rPr>
          <w:rFonts w:asciiTheme="majorHAnsi" w:hAnsiTheme="majorHAnsi"/>
        </w:rPr>
        <w:t>’</w:t>
      </w:r>
      <w:r>
        <w:rPr>
          <w:rFonts w:asciiTheme="majorHAnsi" w:hAnsiTheme="majorHAnsi"/>
        </w:rPr>
        <w:t>il est envisagé d</w:t>
      </w:r>
      <w:r w:rsidR="001776DF">
        <w:rPr>
          <w:rFonts w:asciiTheme="majorHAnsi" w:hAnsiTheme="majorHAnsi"/>
        </w:rPr>
        <w:t>’</w:t>
      </w:r>
      <w:r>
        <w:rPr>
          <w:rFonts w:asciiTheme="majorHAnsi" w:hAnsiTheme="majorHAnsi"/>
        </w:rPr>
        <w:t>engager ultérieurement le</w:t>
      </w:r>
      <w:r w:rsidR="001776DF">
        <w:rPr>
          <w:rFonts w:asciiTheme="majorHAnsi" w:hAnsiTheme="majorHAnsi"/>
        </w:rPr>
        <w:t xml:space="preserve"> </w:t>
      </w:r>
      <w:r>
        <w:rPr>
          <w:rFonts w:asciiTheme="majorHAnsi" w:hAnsiTheme="majorHAnsi"/>
        </w:rPr>
        <w:t>même fournisseur après du PNUD.</w:t>
      </w:r>
    </w:p>
    <w:p w14:paraId="6361A64E" w14:textId="77777777" w:rsidR="00544CB5" w:rsidRPr="00544CB5" w:rsidRDefault="00544CB5" w:rsidP="00544CB5">
      <w:pPr>
        <w:pStyle w:val="ListParagraph"/>
        <w:rPr>
          <w:rFonts w:asciiTheme="majorHAnsi" w:hAnsiTheme="majorHAnsi" w:cs="Arial"/>
        </w:rPr>
      </w:pPr>
    </w:p>
    <w:p w14:paraId="6DDA1B99" w14:textId="77777777" w:rsidR="00544CB5" w:rsidRPr="00544CB5" w:rsidRDefault="00544CB5" w:rsidP="00544CB5">
      <w:pPr>
        <w:autoSpaceDE w:val="0"/>
        <w:autoSpaceDN w:val="0"/>
        <w:adjustRightInd w:val="0"/>
        <w:jc w:val="both"/>
        <w:rPr>
          <w:rFonts w:asciiTheme="majorHAnsi" w:hAnsiTheme="majorHAnsi" w:cs="Arial"/>
        </w:rPr>
      </w:pPr>
    </w:p>
    <w:p w14:paraId="2F49FFC4" w14:textId="77777777" w:rsidR="00B30D2B" w:rsidRPr="001B37EA" w:rsidRDefault="00B30D2B" w:rsidP="00A80A0C">
      <w:pPr>
        <w:pStyle w:val="ListParagraph"/>
        <w:autoSpaceDE w:val="0"/>
        <w:autoSpaceDN w:val="0"/>
        <w:adjustRightInd w:val="0"/>
        <w:spacing w:line="240" w:lineRule="auto"/>
        <w:ind w:left="0"/>
        <w:jc w:val="both"/>
        <w:rPr>
          <w:rFonts w:asciiTheme="majorHAnsi" w:hAnsiTheme="majorHAnsi" w:cs="Arial"/>
        </w:rPr>
      </w:pPr>
    </w:p>
    <w:p w14:paraId="44E5E0D6" w14:textId="77777777" w:rsidR="000F7221" w:rsidRPr="00A80A0C" w:rsidRDefault="00FE6D0E" w:rsidP="00A80A0C">
      <w:pPr>
        <w:pStyle w:val="ListParagraph"/>
        <w:autoSpaceDE w:val="0"/>
        <w:autoSpaceDN w:val="0"/>
        <w:adjustRightInd w:val="0"/>
        <w:spacing w:line="240" w:lineRule="auto"/>
        <w:jc w:val="both"/>
        <w:rPr>
          <w:rFonts w:asciiTheme="majorHAnsi" w:hAnsiTheme="majorHAnsi"/>
          <w:b/>
        </w:rPr>
      </w:pPr>
      <w:r>
        <w:rPr>
          <w:rFonts w:asciiTheme="majorHAnsi" w:hAnsiTheme="majorHAnsi"/>
          <w:b/>
        </w:rPr>
        <w:lastRenderedPageBreak/>
        <w:t>Réclamations, différends contractuels et règlement des différends</w:t>
      </w:r>
    </w:p>
    <w:p w14:paraId="41EF5B64" w14:textId="77777777" w:rsidR="00C91610" w:rsidRPr="001B37EA" w:rsidRDefault="00C91610" w:rsidP="00A80A0C">
      <w:pPr>
        <w:pStyle w:val="ListParagraph"/>
        <w:autoSpaceDE w:val="0"/>
        <w:autoSpaceDN w:val="0"/>
        <w:adjustRightInd w:val="0"/>
        <w:spacing w:line="240" w:lineRule="auto"/>
        <w:jc w:val="both"/>
        <w:rPr>
          <w:rFonts w:asciiTheme="majorHAnsi" w:hAnsiTheme="majorHAnsi"/>
        </w:rPr>
      </w:pPr>
    </w:p>
    <w:p w14:paraId="1691E984" w14:textId="77777777" w:rsidR="003F546E" w:rsidRPr="001B37EA" w:rsidRDefault="00C91610" w:rsidP="00A80A0C">
      <w:pPr>
        <w:pStyle w:val="ListParagraph"/>
        <w:numPr>
          <w:ilvl w:val="0"/>
          <w:numId w:val="28"/>
        </w:numPr>
        <w:autoSpaceDE w:val="0"/>
        <w:autoSpaceDN w:val="0"/>
        <w:adjustRightInd w:val="0"/>
        <w:spacing w:line="240" w:lineRule="auto"/>
        <w:jc w:val="both"/>
        <w:rPr>
          <w:rFonts w:asciiTheme="majorHAnsi" w:hAnsiTheme="majorHAnsi" w:cs="Arial"/>
        </w:rPr>
      </w:pPr>
      <w:r>
        <w:rPr>
          <w:rFonts w:asciiTheme="majorHAnsi" w:hAnsiTheme="majorHAnsi"/>
        </w:rPr>
        <w:t>Le PNUD s</w:t>
      </w:r>
      <w:r w:rsidR="001776DF">
        <w:rPr>
          <w:rFonts w:asciiTheme="majorHAnsi" w:hAnsiTheme="majorHAnsi"/>
        </w:rPr>
        <w:t>’</w:t>
      </w:r>
      <w:r>
        <w:rPr>
          <w:rFonts w:asciiTheme="majorHAnsi" w:hAnsiTheme="majorHAnsi"/>
        </w:rPr>
        <w:t>est engagé à régler les différends entre les fournisseurs et le demandeur</w:t>
      </w:r>
      <w:r w:rsidRPr="001B37EA">
        <w:rPr>
          <w:rStyle w:val="FootnoteReference"/>
          <w:rFonts w:asciiTheme="majorHAnsi" w:hAnsiTheme="majorHAnsi" w:cs="Arial"/>
        </w:rPr>
        <w:footnoteReference w:id="4"/>
      </w:r>
      <w:r>
        <w:rPr>
          <w:rFonts w:asciiTheme="majorHAnsi" w:hAnsiTheme="majorHAnsi"/>
        </w:rPr>
        <w:t xml:space="preserve"> de manière juste, rapide et ordonnée, et l</w:t>
      </w:r>
      <w:r w:rsidR="001776DF">
        <w:rPr>
          <w:rFonts w:asciiTheme="majorHAnsi" w:hAnsiTheme="majorHAnsi"/>
        </w:rPr>
        <w:t>’</w:t>
      </w:r>
      <w:r>
        <w:rPr>
          <w:rFonts w:asciiTheme="majorHAnsi" w:hAnsiTheme="majorHAnsi"/>
        </w:rPr>
        <w:t>unité chargée des achats doit être informée des dispositions contractuelles relatives au règlement des différends et des réclamations.</w:t>
      </w:r>
    </w:p>
    <w:p w14:paraId="76B82CCA" w14:textId="77777777" w:rsidR="003F546E" w:rsidRPr="001B37EA" w:rsidRDefault="003F546E" w:rsidP="00A80A0C">
      <w:pPr>
        <w:pStyle w:val="ListParagraph"/>
        <w:autoSpaceDE w:val="0"/>
        <w:autoSpaceDN w:val="0"/>
        <w:adjustRightInd w:val="0"/>
        <w:spacing w:line="240" w:lineRule="auto"/>
        <w:jc w:val="both"/>
        <w:rPr>
          <w:rFonts w:asciiTheme="majorHAnsi" w:hAnsiTheme="majorHAnsi" w:cs="Arial"/>
        </w:rPr>
      </w:pPr>
    </w:p>
    <w:p w14:paraId="129B384C" w14:textId="12F03DE1" w:rsidR="00D24A2D" w:rsidRPr="00A80A0C" w:rsidRDefault="00C91610" w:rsidP="00A80A0C">
      <w:pPr>
        <w:pStyle w:val="ListParagraph"/>
        <w:numPr>
          <w:ilvl w:val="0"/>
          <w:numId w:val="28"/>
        </w:numPr>
        <w:autoSpaceDE w:val="0"/>
        <w:autoSpaceDN w:val="0"/>
        <w:adjustRightInd w:val="0"/>
        <w:spacing w:line="240" w:lineRule="auto"/>
        <w:jc w:val="both"/>
        <w:rPr>
          <w:rFonts w:asciiTheme="majorHAnsi" w:hAnsiTheme="majorHAnsi" w:cs="Arial"/>
        </w:rPr>
      </w:pPr>
      <w:r>
        <w:rPr>
          <w:rFonts w:asciiTheme="majorHAnsi" w:hAnsiTheme="majorHAnsi"/>
        </w:rPr>
        <w:t>En cas de différend contractuel, les contrats du PNUD prévoient que les parties tenteront d</w:t>
      </w:r>
      <w:r w:rsidR="001776DF">
        <w:rPr>
          <w:rFonts w:asciiTheme="majorHAnsi" w:hAnsiTheme="majorHAnsi"/>
        </w:rPr>
        <w:t>’</w:t>
      </w:r>
      <w:r>
        <w:rPr>
          <w:rFonts w:asciiTheme="majorHAnsi" w:hAnsiTheme="majorHAnsi"/>
        </w:rPr>
        <w:t>abord de résoudre le différend par voie de négociations en vue de parvenir à un règlement amiable. Les litiges contractuels doivent être traités comme suit</w:t>
      </w:r>
      <w:r w:rsidR="00814A32">
        <w:rPr>
          <w:rFonts w:asciiTheme="majorHAnsi" w:hAnsiTheme="majorHAnsi"/>
        </w:rPr>
        <w:t>,</w:t>
      </w:r>
      <w:r>
        <w:rPr>
          <w:rFonts w:asciiTheme="majorHAnsi" w:hAnsiTheme="majorHAnsi"/>
        </w:rPr>
        <w:t xml:space="preserve"> conformément aux Conditions </w:t>
      </w:r>
      <w:r w:rsidR="007A3079">
        <w:rPr>
          <w:rFonts w:asciiTheme="majorHAnsi" w:hAnsiTheme="majorHAnsi"/>
        </w:rPr>
        <w:t>g</w:t>
      </w:r>
      <w:r>
        <w:rPr>
          <w:rFonts w:asciiTheme="majorHAnsi" w:hAnsiTheme="majorHAnsi"/>
        </w:rPr>
        <w:t xml:space="preserve">énérales de </w:t>
      </w:r>
      <w:r w:rsidR="007A3079">
        <w:rPr>
          <w:rFonts w:asciiTheme="majorHAnsi" w:hAnsiTheme="majorHAnsi"/>
        </w:rPr>
        <w:t>v</w:t>
      </w:r>
      <w:r>
        <w:rPr>
          <w:rFonts w:asciiTheme="majorHAnsi" w:hAnsiTheme="majorHAnsi"/>
        </w:rPr>
        <w:t>ente</w:t>
      </w:r>
      <w:r w:rsidR="001776DF">
        <w:rPr>
          <w:rFonts w:asciiTheme="majorHAnsi" w:hAnsiTheme="majorHAnsi"/>
        </w:rPr>
        <w:t> :</w:t>
      </w:r>
    </w:p>
    <w:p w14:paraId="67CB7946" w14:textId="77777777" w:rsidR="00D24A2D" w:rsidRPr="00A80A0C" w:rsidRDefault="00D24A2D" w:rsidP="00A80A0C">
      <w:pPr>
        <w:autoSpaceDE w:val="0"/>
        <w:autoSpaceDN w:val="0"/>
        <w:adjustRightInd w:val="0"/>
        <w:jc w:val="both"/>
        <w:rPr>
          <w:rFonts w:asciiTheme="majorHAnsi" w:hAnsiTheme="majorHAnsi" w:cs="Arial"/>
          <w:sz w:val="22"/>
          <w:szCs w:val="22"/>
        </w:rPr>
      </w:pPr>
    </w:p>
    <w:p w14:paraId="03F85F14" w14:textId="77777777" w:rsidR="004B6AD2" w:rsidRPr="00A80A0C" w:rsidRDefault="00DB3D39" w:rsidP="00A80A0C">
      <w:pPr>
        <w:pStyle w:val="ListParagraph"/>
        <w:numPr>
          <w:ilvl w:val="0"/>
          <w:numId w:val="14"/>
        </w:numPr>
        <w:spacing w:line="240" w:lineRule="auto"/>
        <w:ind w:left="1080"/>
        <w:rPr>
          <w:rFonts w:asciiTheme="majorHAnsi" w:hAnsiTheme="majorHAnsi"/>
        </w:rPr>
      </w:pPr>
      <w:r>
        <w:rPr>
          <w:rFonts w:asciiTheme="majorHAnsi" w:hAnsiTheme="majorHAnsi"/>
        </w:rPr>
        <w:t>Étape </w:t>
      </w:r>
      <w:r w:rsidR="004B6AD2">
        <w:rPr>
          <w:rFonts w:asciiTheme="majorHAnsi" w:hAnsiTheme="majorHAnsi"/>
        </w:rPr>
        <w:t>1</w:t>
      </w:r>
      <w:r w:rsidR="001776DF">
        <w:rPr>
          <w:rFonts w:asciiTheme="majorHAnsi" w:hAnsiTheme="majorHAnsi"/>
        </w:rPr>
        <w:t> :</w:t>
      </w:r>
      <w:r w:rsidR="004B6AD2">
        <w:rPr>
          <w:rFonts w:asciiTheme="majorHAnsi" w:hAnsiTheme="majorHAnsi"/>
        </w:rPr>
        <w:t xml:space="preserve"> L</w:t>
      </w:r>
      <w:r w:rsidR="001776DF">
        <w:rPr>
          <w:rFonts w:asciiTheme="majorHAnsi" w:hAnsiTheme="majorHAnsi"/>
        </w:rPr>
        <w:t>’</w:t>
      </w:r>
      <w:r w:rsidR="000721FF">
        <w:rPr>
          <w:rFonts w:asciiTheme="majorHAnsi" w:hAnsiTheme="majorHAnsi"/>
        </w:rPr>
        <w:t>unité requérante</w:t>
      </w:r>
      <w:r w:rsidR="004B6AD2">
        <w:rPr>
          <w:rFonts w:asciiTheme="majorHAnsi" w:hAnsiTheme="majorHAnsi"/>
        </w:rPr>
        <w:t xml:space="preserve"> doit s</w:t>
      </w:r>
      <w:r w:rsidR="001776DF">
        <w:rPr>
          <w:rFonts w:asciiTheme="majorHAnsi" w:hAnsiTheme="majorHAnsi"/>
        </w:rPr>
        <w:t>’</w:t>
      </w:r>
      <w:r w:rsidR="004B6AD2">
        <w:rPr>
          <w:rFonts w:asciiTheme="majorHAnsi" w:hAnsiTheme="majorHAnsi"/>
        </w:rPr>
        <w:t>efforcer de résoudre tout différend avec le fournisseur pour satisfaire aux exigences contractuelles et communiquer directement avec lui pour discuter et mettre en œuvre une solution amiable.</w:t>
      </w:r>
    </w:p>
    <w:p w14:paraId="6A644446" w14:textId="77777777" w:rsidR="00D24A2D" w:rsidRPr="00A80A0C" w:rsidRDefault="00D24A2D" w:rsidP="00A80A0C">
      <w:pPr>
        <w:pStyle w:val="ListParagraph"/>
        <w:spacing w:line="240" w:lineRule="auto"/>
        <w:ind w:left="1080"/>
        <w:rPr>
          <w:rFonts w:asciiTheme="majorHAnsi" w:hAnsiTheme="majorHAnsi"/>
        </w:rPr>
      </w:pPr>
    </w:p>
    <w:p w14:paraId="239C329C" w14:textId="77777777" w:rsidR="00D24A2D" w:rsidRPr="001B37EA" w:rsidRDefault="00DB3D39" w:rsidP="00A80A0C">
      <w:pPr>
        <w:pStyle w:val="ListParagraph"/>
        <w:numPr>
          <w:ilvl w:val="0"/>
          <w:numId w:val="14"/>
        </w:numPr>
        <w:autoSpaceDE w:val="0"/>
        <w:autoSpaceDN w:val="0"/>
        <w:adjustRightInd w:val="0"/>
        <w:spacing w:line="240" w:lineRule="auto"/>
        <w:ind w:left="1080"/>
        <w:jc w:val="both"/>
        <w:rPr>
          <w:rFonts w:asciiTheme="majorHAnsi" w:hAnsiTheme="majorHAnsi" w:cs="Arial"/>
        </w:rPr>
      </w:pPr>
      <w:r>
        <w:rPr>
          <w:rFonts w:asciiTheme="majorHAnsi" w:hAnsiTheme="majorHAnsi"/>
        </w:rPr>
        <w:t>Étape </w:t>
      </w:r>
      <w:r w:rsidR="00E95346">
        <w:rPr>
          <w:rFonts w:asciiTheme="majorHAnsi" w:hAnsiTheme="majorHAnsi"/>
        </w:rPr>
        <w:t>2</w:t>
      </w:r>
      <w:r w:rsidR="001776DF">
        <w:rPr>
          <w:rFonts w:asciiTheme="majorHAnsi" w:hAnsiTheme="majorHAnsi"/>
        </w:rPr>
        <w:t> :</w:t>
      </w:r>
      <w:r w:rsidR="00E95346">
        <w:rPr>
          <w:rFonts w:asciiTheme="majorHAnsi" w:hAnsiTheme="majorHAnsi"/>
        </w:rPr>
        <w:t xml:space="preserve"> Si l</w:t>
      </w:r>
      <w:r w:rsidR="001776DF">
        <w:rPr>
          <w:rFonts w:asciiTheme="majorHAnsi" w:hAnsiTheme="majorHAnsi"/>
        </w:rPr>
        <w:t>’</w:t>
      </w:r>
      <w:r w:rsidR="000721FF">
        <w:rPr>
          <w:rFonts w:asciiTheme="majorHAnsi" w:hAnsiTheme="majorHAnsi"/>
        </w:rPr>
        <w:t>unité requérante</w:t>
      </w:r>
      <w:r w:rsidR="00E95346">
        <w:rPr>
          <w:rFonts w:asciiTheme="majorHAnsi" w:hAnsiTheme="majorHAnsi"/>
        </w:rPr>
        <w:t xml:space="preserve"> n</w:t>
      </w:r>
      <w:r w:rsidR="001776DF">
        <w:rPr>
          <w:rFonts w:asciiTheme="majorHAnsi" w:hAnsiTheme="majorHAnsi"/>
        </w:rPr>
        <w:t>’</w:t>
      </w:r>
      <w:r w:rsidR="00E95346">
        <w:rPr>
          <w:rFonts w:asciiTheme="majorHAnsi" w:hAnsiTheme="majorHAnsi"/>
        </w:rPr>
        <w:t>est pas en mesure de résoudre le différend, elle en informera le responsable des achats ou des opérations, qui interviendra auprès du fournisseur, et prendra des mesures comme demander au fournisseur ou au PNUD de corriger ou de régler les points litigieux. À ce stade, il est recommandé de consulter l</w:t>
      </w:r>
      <w:r w:rsidR="001776DF">
        <w:rPr>
          <w:rFonts w:asciiTheme="majorHAnsi" w:hAnsiTheme="majorHAnsi"/>
        </w:rPr>
        <w:t>’</w:t>
      </w:r>
      <w:r w:rsidR="00E95346">
        <w:rPr>
          <w:rFonts w:asciiTheme="majorHAnsi" w:hAnsiTheme="majorHAnsi"/>
        </w:rPr>
        <w:t>Unité des services d</w:t>
      </w:r>
      <w:r w:rsidR="001776DF">
        <w:rPr>
          <w:rFonts w:asciiTheme="majorHAnsi" w:hAnsiTheme="majorHAnsi"/>
        </w:rPr>
        <w:t>’</w:t>
      </w:r>
      <w:r w:rsidR="00E95346">
        <w:rPr>
          <w:rFonts w:asciiTheme="majorHAnsi" w:hAnsiTheme="majorHAnsi"/>
        </w:rPr>
        <w:t>achat pour éviter d</w:t>
      </w:r>
      <w:r w:rsidR="001776DF">
        <w:rPr>
          <w:rFonts w:asciiTheme="majorHAnsi" w:hAnsiTheme="majorHAnsi"/>
        </w:rPr>
        <w:t>’</w:t>
      </w:r>
      <w:r w:rsidR="00E95346">
        <w:rPr>
          <w:rFonts w:asciiTheme="majorHAnsi" w:hAnsiTheme="majorHAnsi"/>
        </w:rPr>
        <w:t>autres complications.</w:t>
      </w:r>
    </w:p>
    <w:p w14:paraId="3A4E43D8" w14:textId="77777777" w:rsidR="00F2443F" w:rsidRPr="00A80A0C" w:rsidRDefault="00F2443F" w:rsidP="00A80A0C">
      <w:pPr>
        <w:pStyle w:val="ListParagraph"/>
        <w:autoSpaceDE w:val="0"/>
        <w:autoSpaceDN w:val="0"/>
        <w:adjustRightInd w:val="0"/>
        <w:spacing w:line="240" w:lineRule="auto"/>
        <w:ind w:left="1080"/>
        <w:jc w:val="both"/>
        <w:rPr>
          <w:rFonts w:asciiTheme="majorHAnsi" w:hAnsiTheme="majorHAnsi" w:cs="Arial"/>
        </w:rPr>
      </w:pPr>
    </w:p>
    <w:p w14:paraId="678D7FA5" w14:textId="6BEDEF80" w:rsidR="002B321A" w:rsidRPr="00623F2C" w:rsidRDefault="00BC472D" w:rsidP="00A80A0C">
      <w:pPr>
        <w:pStyle w:val="ListParagraph"/>
        <w:numPr>
          <w:ilvl w:val="0"/>
          <w:numId w:val="14"/>
        </w:numPr>
        <w:autoSpaceDE w:val="0"/>
        <w:autoSpaceDN w:val="0"/>
        <w:adjustRightInd w:val="0"/>
        <w:spacing w:line="240" w:lineRule="auto"/>
        <w:ind w:left="1080"/>
        <w:jc w:val="both"/>
        <w:rPr>
          <w:rFonts w:asciiTheme="majorHAnsi" w:hAnsiTheme="majorHAnsi" w:cs="Arial"/>
        </w:rPr>
      </w:pPr>
      <w:r>
        <w:rPr>
          <w:rFonts w:asciiTheme="majorHAnsi" w:hAnsiTheme="majorHAnsi"/>
        </w:rPr>
        <w:t>Éta</w:t>
      </w:r>
      <w:r w:rsidR="00DB3D39">
        <w:rPr>
          <w:rFonts w:asciiTheme="majorHAnsi" w:hAnsiTheme="majorHAnsi"/>
        </w:rPr>
        <w:t>pe </w:t>
      </w:r>
      <w:r>
        <w:rPr>
          <w:rFonts w:asciiTheme="majorHAnsi" w:hAnsiTheme="majorHAnsi"/>
        </w:rPr>
        <w:t>3</w:t>
      </w:r>
      <w:r w:rsidR="001776DF">
        <w:rPr>
          <w:rFonts w:asciiTheme="majorHAnsi" w:hAnsiTheme="majorHAnsi"/>
        </w:rPr>
        <w:t> :</w:t>
      </w:r>
      <w:r>
        <w:rPr>
          <w:rFonts w:asciiTheme="majorHAnsi" w:hAnsiTheme="majorHAnsi"/>
        </w:rPr>
        <w:t xml:space="preserve"> Si le responsable des achats ou des opérations n</w:t>
      </w:r>
      <w:r w:rsidR="001776DF">
        <w:rPr>
          <w:rFonts w:asciiTheme="majorHAnsi" w:hAnsiTheme="majorHAnsi"/>
        </w:rPr>
        <w:t>’</w:t>
      </w:r>
      <w:r>
        <w:rPr>
          <w:rFonts w:asciiTheme="majorHAnsi" w:hAnsiTheme="majorHAnsi"/>
        </w:rPr>
        <w:t>est pas en mesure de résoudre le différend à l</w:t>
      </w:r>
      <w:r w:rsidR="001776DF">
        <w:rPr>
          <w:rFonts w:asciiTheme="majorHAnsi" w:hAnsiTheme="majorHAnsi"/>
        </w:rPr>
        <w:t>’</w:t>
      </w:r>
      <w:r>
        <w:rPr>
          <w:rFonts w:asciiTheme="majorHAnsi" w:hAnsiTheme="majorHAnsi"/>
        </w:rPr>
        <w:t>amiable, l</w:t>
      </w:r>
      <w:r w:rsidR="001776DF">
        <w:rPr>
          <w:rFonts w:asciiTheme="majorHAnsi" w:hAnsiTheme="majorHAnsi"/>
        </w:rPr>
        <w:t>’</w:t>
      </w:r>
      <w:r>
        <w:rPr>
          <w:rFonts w:asciiTheme="majorHAnsi" w:hAnsiTheme="majorHAnsi"/>
        </w:rPr>
        <w:t xml:space="preserve">unité administrative doit immédiatement consulter </w:t>
      </w:r>
      <w:r w:rsidRPr="004B1025">
        <w:rPr>
          <w:rFonts w:asciiTheme="majorHAnsi" w:hAnsiTheme="majorHAnsi"/>
        </w:rPr>
        <w:t>l</w:t>
      </w:r>
      <w:r w:rsidR="001776DF" w:rsidRPr="004B1025">
        <w:rPr>
          <w:rFonts w:asciiTheme="majorHAnsi" w:hAnsiTheme="majorHAnsi"/>
        </w:rPr>
        <w:t>’</w:t>
      </w:r>
      <w:r w:rsidRPr="004B1025">
        <w:rPr>
          <w:rFonts w:asciiTheme="majorHAnsi" w:hAnsiTheme="majorHAnsi"/>
        </w:rPr>
        <w:t xml:space="preserve">Unité </w:t>
      </w:r>
      <w:r w:rsidR="00AF0560" w:rsidRPr="004B1025">
        <w:rPr>
          <w:rFonts w:asciiTheme="majorHAnsi" w:hAnsiTheme="majorHAnsi"/>
        </w:rPr>
        <w:t xml:space="preserve">d’appui aux achats </w:t>
      </w:r>
      <w:r w:rsidR="004B1025" w:rsidRPr="004B1025">
        <w:rPr>
          <w:rFonts w:asciiTheme="majorHAnsi" w:hAnsiTheme="majorHAnsi"/>
        </w:rPr>
        <w:t>(PSU)</w:t>
      </w:r>
      <w:r w:rsidRPr="004B1025">
        <w:rPr>
          <w:rFonts w:asciiTheme="majorHAnsi" w:hAnsiTheme="majorHAnsi"/>
        </w:rPr>
        <w:t xml:space="preserve"> et</w:t>
      </w:r>
      <w:r>
        <w:rPr>
          <w:rFonts w:asciiTheme="majorHAnsi" w:hAnsiTheme="majorHAnsi"/>
        </w:rPr>
        <w:t xml:space="preserve"> le Service juridique et fournir les éléments suivants</w:t>
      </w:r>
      <w:r w:rsidR="001776DF">
        <w:rPr>
          <w:rFonts w:asciiTheme="majorHAnsi" w:hAnsiTheme="majorHAnsi"/>
        </w:rPr>
        <w:t> :</w:t>
      </w:r>
    </w:p>
    <w:p w14:paraId="3A66D667" w14:textId="77777777" w:rsidR="002B321A" w:rsidRPr="00A80A0C" w:rsidRDefault="002B321A" w:rsidP="00A80A0C">
      <w:pPr>
        <w:autoSpaceDE w:val="0"/>
        <w:autoSpaceDN w:val="0"/>
        <w:adjustRightInd w:val="0"/>
        <w:jc w:val="both"/>
        <w:rPr>
          <w:rFonts w:asciiTheme="majorHAnsi" w:hAnsiTheme="majorHAnsi" w:cs="Arial"/>
        </w:rPr>
      </w:pPr>
    </w:p>
    <w:p w14:paraId="163BF1C1" w14:textId="04C69003" w:rsidR="002B321A" w:rsidRPr="00623F2C" w:rsidRDefault="004B1025">
      <w:pPr>
        <w:pStyle w:val="ListParagraph"/>
        <w:numPr>
          <w:ilvl w:val="0"/>
          <w:numId w:val="15"/>
        </w:numPr>
        <w:autoSpaceDE w:val="0"/>
        <w:autoSpaceDN w:val="0"/>
        <w:adjustRightInd w:val="0"/>
        <w:spacing w:line="240" w:lineRule="auto"/>
        <w:jc w:val="both"/>
        <w:rPr>
          <w:rFonts w:asciiTheme="majorHAnsi" w:hAnsiTheme="majorHAnsi" w:cs="Arial"/>
        </w:rPr>
      </w:pPr>
      <w:r>
        <w:rPr>
          <w:rFonts w:asciiTheme="majorHAnsi" w:hAnsiTheme="majorHAnsi"/>
        </w:rPr>
        <w:t>Toutes</w:t>
      </w:r>
      <w:r w:rsidR="002B321A">
        <w:rPr>
          <w:rFonts w:asciiTheme="majorHAnsi" w:hAnsiTheme="majorHAnsi"/>
        </w:rPr>
        <w:t xml:space="preserve"> les informations générales pertinentes</w:t>
      </w:r>
      <w:r w:rsidR="001776DF">
        <w:rPr>
          <w:rFonts w:asciiTheme="majorHAnsi" w:hAnsiTheme="majorHAnsi"/>
        </w:rPr>
        <w:t> ;</w:t>
      </w:r>
    </w:p>
    <w:p w14:paraId="14B645C5" w14:textId="508F699A" w:rsidR="002B321A" w:rsidRPr="00623F2C" w:rsidRDefault="004B1025">
      <w:pPr>
        <w:pStyle w:val="ListParagraph"/>
        <w:numPr>
          <w:ilvl w:val="0"/>
          <w:numId w:val="15"/>
        </w:numPr>
        <w:autoSpaceDE w:val="0"/>
        <w:autoSpaceDN w:val="0"/>
        <w:adjustRightInd w:val="0"/>
        <w:spacing w:line="240" w:lineRule="auto"/>
        <w:jc w:val="both"/>
        <w:rPr>
          <w:rFonts w:asciiTheme="majorHAnsi" w:hAnsiTheme="majorHAnsi" w:cs="Arial"/>
        </w:rPr>
      </w:pPr>
      <w:r>
        <w:rPr>
          <w:rFonts w:asciiTheme="majorHAnsi" w:hAnsiTheme="majorHAnsi"/>
        </w:rPr>
        <w:t>Une</w:t>
      </w:r>
      <w:r w:rsidR="002B321A">
        <w:rPr>
          <w:rFonts w:asciiTheme="majorHAnsi" w:hAnsiTheme="majorHAnsi"/>
        </w:rPr>
        <w:t xml:space="preserve"> chronologie des événements qui ont mené au différend</w:t>
      </w:r>
      <w:r w:rsidR="001776DF">
        <w:rPr>
          <w:rFonts w:asciiTheme="majorHAnsi" w:hAnsiTheme="majorHAnsi"/>
        </w:rPr>
        <w:t> ;</w:t>
      </w:r>
    </w:p>
    <w:p w14:paraId="2F9F4313" w14:textId="28D320B9" w:rsidR="002B321A" w:rsidRPr="00623F2C" w:rsidRDefault="004B1025">
      <w:pPr>
        <w:pStyle w:val="ListParagraph"/>
        <w:numPr>
          <w:ilvl w:val="0"/>
          <w:numId w:val="15"/>
        </w:numPr>
        <w:autoSpaceDE w:val="0"/>
        <w:autoSpaceDN w:val="0"/>
        <w:adjustRightInd w:val="0"/>
        <w:spacing w:line="240" w:lineRule="auto"/>
        <w:jc w:val="both"/>
        <w:rPr>
          <w:rFonts w:asciiTheme="majorHAnsi" w:hAnsiTheme="majorHAnsi" w:cs="Arial"/>
        </w:rPr>
      </w:pPr>
      <w:r>
        <w:rPr>
          <w:rFonts w:asciiTheme="majorHAnsi" w:hAnsiTheme="majorHAnsi"/>
        </w:rPr>
        <w:t>Une</w:t>
      </w:r>
      <w:r w:rsidR="002B321A">
        <w:rPr>
          <w:rFonts w:asciiTheme="majorHAnsi" w:hAnsiTheme="majorHAnsi"/>
        </w:rPr>
        <w:t xml:space="preserve"> description des efforts déployés pour régler le différend, y compris son développement actuel</w:t>
      </w:r>
      <w:r w:rsidR="001776DF">
        <w:rPr>
          <w:rFonts w:asciiTheme="majorHAnsi" w:hAnsiTheme="majorHAnsi"/>
        </w:rPr>
        <w:t> ;</w:t>
      </w:r>
    </w:p>
    <w:p w14:paraId="0BDD05B3" w14:textId="469B22A3" w:rsidR="002B321A" w:rsidRPr="00623F2C" w:rsidRDefault="004B1025">
      <w:pPr>
        <w:pStyle w:val="ListParagraph"/>
        <w:numPr>
          <w:ilvl w:val="0"/>
          <w:numId w:val="15"/>
        </w:numPr>
        <w:autoSpaceDE w:val="0"/>
        <w:autoSpaceDN w:val="0"/>
        <w:adjustRightInd w:val="0"/>
        <w:spacing w:line="240" w:lineRule="auto"/>
        <w:jc w:val="both"/>
        <w:rPr>
          <w:rFonts w:asciiTheme="majorHAnsi" w:hAnsiTheme="majorHAnsi" w:cs="Arial"/>
        </w:rPr>
      </w:pPr>
      <w:r>
        <w:rPr>
          <w:rFonts w:asciiTheme="majorHAnsi" w:hAnsiTheme="majorHAnsi"/>
        </w:rPr>
        <w:t>Le</w:t>
      </w:r>
      <w:r w:rsidR="002B321A">
        <w:rPr>
          <w:rFonts w:asciiTheme="majorHAnsi" w:hAnsiTheme="majorHAnsi"/>
        </w:rPr>
        <w:t xml:space="preserve"> montant contesté ou les montants réclamés par le PNUD ou le fournisseur, l</w:t>
      </w:r>
      <w:r w:rsidR="001776DF">
        <w:rPr>
          <w:rFonts w:asciiTheme="majorHAnsi" w:hAnsiTheme="majorHAnsi"/>
        </w:rPr>
        <w:t>’</w:t>
      </w:r>
      <w:r w:rsidR="002B321A">
        <w:rPr>
          <w:rFonts w:asciiTheme="majorHAnsi" w:hAnsiTheme="majorHAnsi"/>
        </w:rPr>
        <w:t>entrepreneur ou le vendeur</w:t>
      </w:r>
      <w:r w:rsidR="001776DF">
        <w:rPr>
          <w:rFonts w:asciiTheme="majorHAnsi" w:hAnsiTheme="majorHAnsi"/>
        </w:rPr>
        <w:t> ;</w:t>
      </w:r>
    </w:p>
    <w:p w14:paraId="393056AE" w14:textId="488CA15A" w:rsidR="002B321A" w:rsidRPr="00623F2C" w:rsidRDefault="004B1025">
      <w:pPr>
        <w:pStyle w:val="ListParagraph"/>
        <w:numPr>
          <w:ilvl w:val="0"/>
          <w:numId w:val="15"/>
        </w:numPr>
        <w:autoSpaceDE w:val="0"/>
        <w:autoSpaceDN w:val="0"/>
        <w:adjustRightInd w:val="0"/>
        <w:spacing w:line="240" w:lineRule="auto"/>
        <w:jc w:val="both"/>
        <w:rPr>
          <w:rFonts w:asciiTheme="majorHAnsi" w:hAnsiTheme="majorHAnsi" w:cs="Arial"/>
        </w:rPr>
      </w:pPr>
      <w:r>
        <w:rPr>
          <w:rFonts w:asciiTheme="majorHAnsi" w:hAnsiTheme="majorHAnsi"/>
        </w:rPr>
        <w:t>Une</w:t>
      </w:r>
      <w:r w:rsidR="002B321A">
        <w:rPr>
          <w:rFonts w:asciiTheme="majorHAnsi" w:hAnsiTheme="majorHAnsi"/>
        </w:rPr>
        <w:t xml:space="preserve"> copie du marché correspondant en vertu duquel le différend est survenu</w:t>
      </w:r>
      <w:r w:rsidR="001776DF">
        <w:rPr>
          <w:rFonts w:asciiTheme="majorHAnsi" w:hAnsiTheme="majorHAnsi"/>
        </w:rPr>
        <w:t> ;</w:t>
      </w:r>
    </w:p>
    <w:p w14:paraId="0E7A22F6" w14:textId="5616E73D" w:rsidR="002B321A" w:rsidRPr="00623F2C" w:rsidRDefault="004B1025">
      <w:pPr>
        <w:pStyle w:val="ListParagraph"/>
        <w:numPr>
          <w:ilvl w:val="0"/>
          <w:numId w:val="15"/>
        </w:numPr>
        <w:autoSpaceDE w:val="0"/>
        <w:autoSpaceDN w:val="0"/>
        <w:adjustRightInd w:val="0"/>
        <w:spacing w:line="240" w:lineRule="auto"/>
        <w:jc w:val="both"/>
        <w:rPr>
          <w:rFonts w:asciiTheme="majorHAnsi" w:hAnsiTheme="majorHAnsi" w:cs="Arial"/>
        </w:rPr>
      </w:pPr>
      <w:r>
        <w:rPr>
          <w:rFonts w:asciiTheme="majorHAnsi" w:hAnsiTheme="majorHAnsi"/>
        </w:rPr>
        <w:t>Des</w:t>
      </w:r>
      <w:r w:rsidR="002B321A">
        <w:rPr>
          <w:rFonts w:asciiTheme="majorHAnsi" w:hAnsiTheme="majorHAnsi"/>
        </w:rPr>
        <w:t xml:space="preserve"> copies de toute autre documentation pertinente, y compris les modifications au marché, les termes de référence, les courriels ou les lettres de correspondance, etc.</w:t>
      </w:r>
    </w:p>
    <w:p w14:paraId="7E9BF15C" w14:textId="77777777" w:rsidR="002B321A" w:rsidRPr="00623F2C" w:rsidRDefault="002B321A">
      <w:pPr>
        <w:pStyle w:val="ListParagraph"/>
        <w:autoSpaceDE w:val="0"/>
        <w:autoSpaceDN w:val="0"/>
        <w:adjustRightInd w:val="0"/>
        <w:spacing w:line="240" w:lineRule="auto"/>
        <w:ind w:left="1080"/>
        <w:jc w:val="both"/>
        <w:rPr>
          <w:rFonts w:asciiTheme="majorHAnsi" w:hAnsiTheme="majorHAnsi" w:cs="Arial"/>
        </w:rPr>
      </w:pPr>
    </w:p>
    <w:p w14:paraId="3F8746E4" w14:textId="77777777" w:rsidR="002B321A" w:rsidRPr="00623F2C" w:rsidRDefault="002B321A">
      <w:pPr>
        <w:pStyle w:val="ListParagraph"/>
        <w:numPr>
          <w:ilvl w:val="0"/>
          <w:numId w:val="18"/>
        </w:numPr>
        <w:autoSpaceDE w:val="0"/>
        <w:autoSpaceDN w:val="0"/>
        <w:adjustRightInd w:val="0"/>
        <w:spacing w:line="240" w:lineRule="auto"/>
        <w:ind w:left="2160"/>
        <w:jc w:val="both"/>
        <w:rPr>
          <w:rFonts w:asciiTheme="majorHAnsi" w:hAnsiTheme="majorHAnsi" w:cs="Arial"/>
        </w:rPr>
      </w:pPr>
      <w:r>
        <w:rPr>
          <w:rFonts w:asciiTheme="majorHAnsi" w:hAnsiTheme="majorHAnsi"/>
        </w:rPr>
        <w:t>Le responsable des achats doit fournir une évaluation de la situation, y compris une analyse des conséquences possibles (financières, opérationnelles, politiques et de réputation) du différend pour le PNUD et tenir un compte rendu écrit de tout différend avec les fournisseurs, ainsi qu</w:t>
      </w:r>
      <w:r w:rsidR="001776DF">
        <w:rPr>
          <w:rFonts w:asciiTheme="majorHAnsi" w:hAnsiTheme="majorHAnsi"/>
        </w:rPr>
        <w:t>’</w:t>
      </w:r>
      <w:r>
        <w:rPr>
          <w:rFonts w:asciiTheme="majorHAnsi" w:hAnsiTheme="majorHAnsi"/>
        </w:rPr>
        <w:t>une description des mesures prises par l</w:t>
      </w:r>
      <w:r w:rsidR="001776DF">
        <w:rPr>
          <w:rFonts w:asciiTheme="majorHAnsi" w:hAnsiTheme="majorHAnsi"/>
        </w:rPr>
        <w:t>’</w:t>
      </w:r>
      <w:r>
        <w:rPr>
          <w:rFonts w:asciiTheme="majorHAnsi" w:hAnsiTheme="majorHAnsi"/>
        </w:rPr>
        <w:t>unité administrative pour résoudre le différend.</w:t>
      </w:r>
    </w:p>
    <w:p w14:paraId="43B76508" w14:textId="77777777" w:rsidR="002B321A" w:rsidRPr="00623F2C" w:rsidRDefault="002B321A">
      <w:pPr>
        <w:pStyle w:val="ListParagraph"/>
        <w:autoSpaceDE w:val="0"/>
        <w:autoSpaceDN w:val="0"/>
        <w:adjustRightInd w:val="0"/>
        <w:spacing w:line="240" w:lineRule="auto"/>
        <w:ind w:left="1800"/>
        <w:jc w:val="both"/>
        <w:rPr>
          <w:rFonts w:asciiTheme="majorHAnsi" w:hAnsiTheme="majorHAnsi" w:cs="Arial"/>
        </w:rPr>
      </w:pPr>
    </w:p>
    <w:p w14:paraId="6DABB354" w14:textId="34C5AD2E" w:rsidR="002B321A" w:rsidRPr="008B7104" w:rsidRDefault="002B321A" w:rsidP="00A80A0C">
      <w:pPr>
        <w:pStyle w:val="ListParagraph"/>
        <w:numPr>
          <w:ilvl w:val="0"/>
          <w:numId w:val="17"/>
        </w:numPr>
        <w:autoSpaceDE w:val="0"/>
        <w:autoSpaceDN w:val="0"/>
        <w:adjustRightInd w:val="0"/>
        <w:spacing w:line="240" w:lineRule="auto"/>
        <w:ind w:left="2160"/>
        <w:jc w:val="both"/>
        <w:rPr>
          <w:rFonts w:asciiTheme="majorHAnsi" w:hAnsiTheme="majorHAnsi" w:cstheme="majorHAnsi"/>
        </w:rPr>
      </w:pPr>
      <w:r>
        <w:rPr>
          <w:rFonts w:asciiTheme="majorHAnsi" w:hAnsiTheme="majorHAnsi"/>
        </w:rPr>
        <w:t>Des directives sur le processus de règlement des différends et les mesures à prendre, y compris la conclusion d</w:t>
      </w:r>
      <w:r w:rsidR="001776DF">
        <w:rPr>
          <w:rFonts w:asciiTheme="majorHAnsi" w:hAnsiTheme="majorHAnsi"/>
        </w:rPr>
        <w:t>’</w:t>
      </w:r>
      <w:r>
        <w:rPr>
          <w:rFonts w:asciiTheme="majorHAnsi" w:hAnsiTheme="majorHAnsi"/>
        </w:rPr>
        <w:t>un accord de règlement et de libération, sont disponibles ici</w:t>
      </w:r>
      <w:r w:rsidR="00544CB5">
        <w:rPr>
          <w:rFonts w:asciiTheme="majorHAnsi" w:hAnsiTheme="majorHAnsi"/>
        </w:rPr>
        <w:t xml:space="preserve"> : </w:t>
      </w:r>
      <w:hyperlink r:id="rId16" w:history="1">
        <w:r w:rsidR="0064234F">
          <w:rPr>
            <w:rStyle w:val="Hyperlink"/>
            <w:rFonts w:asciiTheme="majorHAnsi" w:hAnsiTheme="majorHAnsi" w:cstheme="majorHAnsi"/>
          </w:rPr>
          <w:t>Note de politique générale sur le règlement des différends et les accords de règlement (en anglais)</w:t>
        </w:r>
      </w:hyperlink>
      <w:r w:rsidR="00544CB5" w:rsidRPr="008B7104">
        <w:rPr>
          <w:rFonts w:asciiTheme="majorHAnsi" w:hAnsiTheme="majorHAnsi" w:cstheme="majorHAnsi"/>
        </w:rPr>
        <w:t>.</w:t>
      </w:r>
    </w:p>
    <w:p w14:paraId="6F0B8C08" w14:textId="77777777" w:rsidR="002B321A" w:rsidRPr="00A80A0C" w:rsidRDefault="002B321A" w:rsidP="00A80A0C">
      <w:pPr>
        <w:autoSpaceDE w:val="0"/>
        <w:autoSpaceDN w:val="0"/>
        <w:adjustRightInd w:val="0"/>
        <w:jc w:val="both"/>
        <w:rPr>
          <w:rFonts w:asciiTheme="majorHAnsi" w:hAnsiTheme="majorHAnsi" w:cs="Arial"/>
        </w:rPr>
      </w:pPr>
    </w:p>
    <w:p w14:paraId="29080C1D" w14:textId="77777777" w:rsidR="001B37EA" w:rsidRPr="00513C09" w:rsidRDefault="00B509FB" w:rsidP="00513C09">
      <w:pPr>
        <w:pStyle w:val="ListParagraph"/>
        <w:numPr>
          <w:ilvl w:val="0"/>
          <w:numId w:val="14"/>
        </w:numPr>
        <w:autoSpaceDE w:val="0"/>
        <w:autoSpaceDN w:val="0"/>
        <w:adjustRightInd w:val="0"/>
        <w:spacing w:line="240" w:lineRule="auto"/>
        <w:ind w:left="1080"/>
        <w:jc w:val="both"/>
        <w:rPr>
          <w:rFonts w:asciiTheme="majorHAnsi" w:hAnsiTheme="majorHAnsi" w:cs="Arial"/>
        </w:rPr>
      </w:pPr>
      <w:r>
        <w:rPr>
          <w:rFonts w:asciiTheme="majorHAnsi" w:hAnsiTheme="majorHAnsi"/>
        </w:rPr>
        <w:lastRenderedPageBreak/>
        <w:t>Étape</w:t>
      </w:r>
      <w:r w:rsidR="00056ED9">
        <w:rPr>
          <w:rFonts w:asciiTheme="majorHAnsi" w:hAnsiTheme="majorHAnsi"/>
        </w:rPr>
        <w:t> </w:t>
      </w:r>
      <w:r>
        <w:rPr>
          <w:rFonts w:asciiTheme="majorHAnsi" w:hAnsiTheme="majorHAnsi"/>
        </w:rPr>
        <w:t>4</w:t>
      </w:r>
      <w:r w:rsidR="001776DF">
        <w:rPr>
          <w:rFonts w:asciiTheme="majorHAnsi" w:hAnsiTheme="majorHAnsi"/>
        </w:rPr>
        <w:t> :</w:t>
      </w:r>
      <w:r>
        <w:rPr>
          <w:rFonts w:asciiTheme="majorHAnsi" w:hAnsiTheme="majorHAnsi"/>
        </w:rPr>
        <w:t xml:space="preserve"> L</w:t>
      </w:r>
      <w:r w:rsidR="001776DF">
        <w:rPr>
          <w:rFonts w:asciiTheme="majorHAnsi" w:hAnsiTheme="majorHAnsi"/>
        </w:rPr>
        <w:t>’</w:t>
      </w:r>
      <w:r>
        <w:rPr>
          <w:rFonts w:asciiTheme="majorHAnsi" w:hAnsiTheme="majorHAnsi"/>
        </w:rPr>
        <w:t>arbitrage est le dernier recours pour le règlement des différends et ne doit être poursuivi qu</w:t>
      </w:r>
      <w:r w:rsidR="001776DF">
        <w:rPr>
          <w:rFonts w:asciiTheme="majorHAnsi" w:hAnsiTheme="majorHAnsi"/>
        </w:rPr>
        <w:t>’</w:t>
      </w:r>
      <w:r>
        <w:rPr>
          <w:rFonts w:asciiTheme="majorHAnsi" w:hAnsiTheme="majorHAnsi"/>
        </w:rPr>
        <w:t>en consultation avec le Bureau juridique. Si les parties ne sont pas en mesure de résoudre le différend à l</w:t>
      </w:r>
      <w:r w:rsidR="001776DF">
        <w:rPr>
          <w:rFonts w:asciiTheme="majorHAnsi" w:hAnsiTheme="majorHAnsi"/>
        </w:rPr>
        <w:t>’</w:t>
      </w:r>
      <w:r>
        <w:rPr>
          <w:rFonts w:asciiTheme="majorHAnsi" w:hAnsiTheme="majorHAnsi"/>
        </w:rPr>
        <w:t>amiable par la négociation, chacune des parties a le droit de soumettre le différend à l</w:t>
      </w:r>
      <w:r w:rsidR="001776DF">
        <w:rPr>
          <w:rFonts w:asciiTheme="majorHAnsi" w:hAnsiTheme="majorHAnsi"/>
        </w:rPr>
        <w:t>’</w:t>
      </w:r>
      <w:r>
        <w:rPr>
          <w:rFonts w:asciiTheme="majorHAnsi" w:hAnsiTheme="majorHAnsi"/>
        </w:rPr>
        <w:t>arbitrage. Il convient toutefois de noter que le PNUD n</w:t>
      </w:r>
      <w:r w:rsidR="001776DF">
        <w:rPr>
          <w:rFonts w:asciiTheme="majorHAnsi" w:hAnsiTheme="majorHAnsi"/>
        </w:rPr>
        <w:t>’</w:t>
      </w:r>
      <w:r>
        <w:rPr>
          <w:rFonts w:asciiTheme="majorHAnsi" w:hAnsiTheme="majorHAnsi"/>
        </w:rPr>
        <w:t>organisera normalement pas d</w:t>
      </w:r>
      <w:r w:rsidR="001776DF">
        <w:rPr>
          <w:rFonts w:asciiTheme="majorHAnsi" w:hAnsiTheme="majorHAnsi"/>
        </w:rPr>
        <w:t>’</w:t>
      </w:r>
      <w:r>
        <w:rPr>
          <w:rFonts w:asciiTheme="majorHAnsi" w:hAnsiTheme="majorHAnsi"/>
        </w:rPr>
        <w:t>arbitrage et que cela nécessiterait des consultations et des approbations approfondies. Ainsi, les unités administratives doivent résoudre toutes les questions pour lesquelles le PNUD est en mesure de présenter une demande, de manière aussi proactive et pratique que possible.</w:t>
      </w:r>
    </w:p>
    <w:p w14:paraId="34C57C18" w14:textId="77777777" w:rsidR="00A55627" w:rsidRPr="001157E5" w:rsidRDefault="00A55627" w:rsidP="00A55627">
      <w:pPr>
        <w:shd w:val="clear" w:color="auto" w:fill="FFFFFF"/>
        <w:ind w:firstLine="720"/>
        <w:textAlignment w:val="top"/>
        <w:rPr>
          <w:rFonts w:ascii="Calibri" w:hAnsi="Calibri" w:cs="Arial"/>
          <w:b/>
          <w:bCs/>
          <w:sz w:val="22"/>
          <w:szCs w:val="22"/>
        </w:rPr>
      </w:pPr>
      <w:r>
        <w:rPr>
          <w:rFonts w:ascii="Calibri" w:hAnsi="Calibri"/>
          <w:b/>
          <w:sz w:val="22"/>
          <w:szCs w:val="22"/>
        </w:rPr>
        <w:t>Manquement ou résiliation du marché</w:t>
      </w:r>
      <w:r>
        <w:rPr>
          <w:rFonts w:ascii="Calibri" w:hAnsi="Calibri"/>
          <w:b/>
          <w:vanish/>
          <w:sz w:val="22"/>
          <w:szCs w:val="22"/>
        </w:rPr>
        <w:t>Page ContentStructure Element - Description</w:t>
      </w:r>
      <w:r>
        <w:rPr>
          <w:rFonts w:ascii="Calibri" w:hAnsi="Calibri"/>
          <w:sz w:val="22"/>
          <w:szCs w:val="22"/>
        </w:rPr>
        <w:t xml:space="preserve"> </w:t>
      </w:r>
    </w:p>
    <w:p w14:paraId="17366A1B" w14:textId="77777777" w:rsidR="00A55627" w:rsidRPr="0094149F" w:rsidRDefault="00A55627" w:rsidP="00A55627">
      <w:pPr>
        <w:shd w:val="clear" w:color="auto" w:fill="FFFFFF"/>
        <w:ind w:firstLine="720"/>
        <w:textAlignment w:val="top"/>
        <w:rPr>
          <w:rFonts w:ascii="Calibri" w:hAnsi="Calibri" w:cs="Arial"/>
          <w:sz w:val="22"/>
        </w:rPr>
      </w:pPr>
      <w:r>
        <w:rPr>
          <w:rFonts w:ascii="Calibri" w:hAnsi="Calibri"/>
          <w:b/>
          <w:bCs/>
          <w:sz w:val="22"/>
        </w:rPr>
        <w:t>Manquement au marché</w:t>
      </w:r>
    </w:p>
    <w:p w14:paraId="1D9148EE" w14:textId="77777777" w:rsidR="00A55627" w:rsidRPr="007C6BC9" w:rsidRDefault="00A55627" w:rsidP="00A55627">
      <w:pPr>
        <w:shd w:val="clear" w:color="auto" w:fill="FFFFFF"/>
        <w:textAlignment w:val="top"/>
        <w:rPr>
          <w:rFonts w:ascii="Calibri" w:hAnsi="Calibri" w:cs="Arial"/>
        </w:rPr>
      </w:pPr>
    </w:p>
    <w:p w14:paraId="69A791FF" w14:textId="17C5CFED" w:rsidR="00A55627" w:rsidRDefault="00A55627" w:rsidP="0094149F">
      <w:pPr>
        <w:pStyle w:val="ListParagraph"/>
        <w:numPr>
          <w:ilvl w:val="0"/>
          <w:numId w:val="28"/>
        </w:numPr>
        <w:autoSpaceDE w:val="0"/>
        <w:autoSpaceDN w:val="0"/>
        <w:adjustRightInd w:val="0"/>
        <w:spacing w:line="240" w:lineRule="auto"/>
        <w:jc w:val="both"/>
        <w:rPr>
          <w:rFonts w:asciiTheme="majorHAnsi" w:hAnsiTheme="majorHAnsi" w:cs="Arial"/>
        </w:rPr>
      </w:pPr>
      <w:r>
        <w:rPr>
          <w:rFonts w:asciiTheme="majorHAnsi" w:hAnsiTheme="majorHAnsi"/>
        </w:rPr>
        <w:t>Les fournisseurs sont responsables de tout manquement important à leurs obligations contractuelles. Il y a manquement important lorsque le PNUD est privé d</w:t>
      </w:r>
      <w:r w:rsidR="001776DF">
        <w:rPr>
          <w:rFonts w:asciiTheme="majorHAnsi" w:hAnsiTheme="majorHAnsi"/>
        </w:rPr>
        <w:t>’</w:t>
      </w:r>
      <w:r>
        <w:rPr>
          <w:rFonts w:asciiTheme="majorHAnsi" w:hAnsiTheme="majorHAnsi"/>
        </w:rPr>
        <w:t>une valeur significative raisonnablement attendue du marché. Si un fournisseur manque à ses obligations, l</w:t>
      </w:r>
      <w:r w:rsidR="001776DF">
        <w:rPr>
          <w:rFonts w:asciiTheme="majorHAnsi" w:hAnsiTheme="majorHAnsi"/>
        </w:rPr>
        <w:t>’</w:t>
      </w:r>
      <w:r>
        <w:rPr>
          <w:rFonts w:asciiTheme="majorHAnsi" w:hAnsiTheme="majorHAnsi"/>
        </w:rPr>
        <w:t>unité administrative doit en informer le fournisseur par écrit, avec une copie à l</w:t>
      </w:r>
      <w:r w:rsidR="001776DF">
        <w:rPr>
          <w:rFonts w:asciiTheme="majorHAnsi" w:hAnsiTheme="majorHAnsi"/>
        </w:rPr>
        <w:t>’</w:t>
      </w:r>
      <w:r>
        <w:rPr>
          <w:rFonts w:asciiTheme="majorHAnsi" w:hAnsiTheme="majorHAnsi"/>
        </w:rPr>
        <w:t xml:space="preserve">Unité </w:t>
      </w:r>
      <w:r w:rsidR="00AF0560">
        <w:rPr>
          <w:rFonts w:asciiTheme="majorHAnsi" w:hAnsiTheme="majorHAnsi"/>
        </w:rPr>
        <w:t>d’</w:t>
      </w:r>
      <w:r>
        <w:rPr>
          <w:rFonts w:asciiTheme="majorHAnsi" w:hAnsiTheme="majorHAnsi"/>
        </w:rPr>
        <w:t>appui aux achats, en lui accordant un délai commercialement raisonnable pour remédier au défaut. Dans le cas où le fournisseur ne parvient pas à remédier au manquement allégué, l</w:t>
      </w:r>
      <w:r w:rsidR="001776DF">
        <w:rPr>
          <w:rFonts w:asciiTheme="majorHAnsi" w:hAnsiTheme="majorHAnsi"/>
        </w:rPr>
        <w:t>’</w:t>
      </w:r>
      <w:r>
        <w:rPr>
          <w:rFonts w:asciiTheme="majorHAnsi" w:hAnsiTheme="majorHAnsi"/>
        </w:rPr>
        <w:t xml:space="preserve">unité administrative doit en informer </w:t>
      </w:r>
      <w:r w:rsidR="008733E3">
        <w:rPr>
          <w:rFonts w:asciiTheme="majorHAnsi" w:hAnsiTheme="majorHAnsi"/>
        </w:rPr>
        <w:t>l’Unité d</w:t>
      </w:r>
      <w:r w:rsidR="00AF0560">
        <w:rPr>
          <w:rFonts w:asciiTheme="majorHAnsi" w:hAnsiTheme="majorHAnsi"/>
        </w:rPr>
        <w:t>’</w:t>
      </w:r>
      <w:r w:rsidR="008733E3">
        <w:rPr>
          <w:rFonts w:asciiTheme="majorHAnsi" w:hAnsiTheme="majorHAnsi"/>
        </w:rPr>
        <w:t>appui aux achats</w:t>
      </w:r>
      <w:r w:rsidR="008733E3" w:rsidDel="008733E3">
        <w:rPr>
          <w:rFonts w:asciiTheme="majorHAnsi" w:hAnsiTheme="majorHAnsi"/>
        </w:rPr>
        <w:t xml:space="preserve"> </w:t>
      </w:r>
      <w:r>
        <w:rPr>
          <w:rFonts w:asciiTheme="majorHAnsi" w:hAnsiTheme="majorHAnsi"/>
        </w:rPr>
        <w:t xml:space="preserve">ou le </w:t>
      </w:r>
      <w:r w:rsidR="008733E3" w:rsidRPr="008733E3">
        <w:rPr>
          <w:rFonts w:asciiTheme="majorHAnsi" w:hAnsiTheme="majorHAnsi"/>
        </w:rPr>
        <w:t>chef de la section des achats</w:t>
      </w:r>
      <w:r>
        <w:rPr>
          <w:rFonts w:asciiTheme="majorHAnsi" w:hAnsiTheme="majorHAnsi"/>
        </w:rPr>
        <w:t>.</w:t>
      </w:r>
    </w:p>
    <w:p w14:paraId="5C98E509" w14:textId="77777777" w:rsidR="001157E5" w:rsidRDefault="001157E5" w:rsidP="00DB3D39">
      <w:pPr>
        <w:shd w:val="clear" w:color="auto" w:fill="FFFFFF"/>
        <w:textAlignment w:val="top"/>
        <w:rPr>
          <w:rFonts w:ascii="Calibri" w:hAnsi="Calibri" w:cs="Arial"/>
          <w:b/>
          <w:bCs/>
          <w:sz w:val="22"/>
        </w:rPr>
      </w:pPr>
    </w:p>
    <w:p w14:paraId="70977EB5" w14:textId="77777777" w:rsidR="0094149F" w:rsidRPr="0094149F" w:rsidRDefault="0094149F" w:rsidP="0094149F">
      <w:pPr>
        <w:shd w:val="clear" w:color="auto" w:fill="FFFFFF"/>
        <w:ind w:firstLine="720"/>
        <w:textAlignment w:val="top"/>
        <w:rPr>
          <w:rFonts w:ascii="Calibri" w:hAnsi="Calibri" w:cs="Arial"/>
          <w:sz w:val="22"/>
        </w:rPr>
      </w:pPr>
      <w:r>
        <w:rPr>
          <w:rFonts w:ascii="Calibri" w:hAnsi="Calibri"/>
          <w:b/>
          <w:bCs/>
          <w:sz w:val="22"/>
        </w:rPr>
        <w:t>Résiliation du marché</w:t>
      </w:r>
    </w:p>
    <w:p w14:paraId="7EE4C9EE" w14:textId="77777777" w:rsidR="0094149F" w:rsidRDefault="0094149F" w:rsidP="0094149F">
      <w:pPr>
        <w:pStyle w:val="ListParagraph"/>
        <w:autoSpaceDE w:val="0"/>
        <w:autoSpaceDN w:val="0"/>
        <w:adjustRightInd w:val="0"/>
        <w:spacing w:line="240" w:lineRule="auto"/>
        <w:jc w:val="both"/>
        <w:rPr>
          <w:rFonts w:asciiTheme="majorHAnsi" w:hAnsiTheme="majorHAnsi" w:cs="Arial"/>
        </w:rPr>
      </w:pPr>
    </w:p>
    <w:p w14:paraId="2A23AA1F" w14:textId="7FB559BF" w:rsidR="0094149F" w:rsidRPr="007F56CA" w:rsidRDefault="0094149F" w:rsidP="0094149F">
      <w:pPr>
        <w:pStyle w:val="ListParagraph"/>
        <w:numPr>
          <w:ilvl w:val="0"/>
          <w:numId w:val="28"/>
        </w:numPr>
        <w:shd w:val="clear" w:color="auto" w:fill="FFFFFF"/>
        <w:spacing w:after="0" w:line="240" w:lineRule="auto"/>
        <w:jc w:val="both"/>
        <w:textAlignment w:val="top"/>
        <w:rPr>
          <w:rFonts w:ascii="Calibri" w:eastAsia="Times New Roman" w:hAnsi="Calibri" w:cs="Calibri"/>
        </w:rPr>
      </w:pPr>
      <w:r w:rsidRPr="007F56CA">
        <w:rPr>
          <w:rFonts w:ascii="Calibri" w:hAnsi="Calibri" w:cs="Calibri"/>
        </w:rPr>
        <w:t xml:space="preserve">Un marché peut être résilié lorsque 1) il y a manquement substantiel </w:t>
      </w:r>
      <w:r w:rsidR="00D00232" w:rsidRPr="007F56CA">
        <w:rPr>
          <w:rFonts w:ascii="Calibri" w:hAnsi="Calibri" w:cs="Calibri"/>
        </w:rPr>
        <w:t xml:space="preserve">à </w:t>
      </w:r>
      <w:r w:rsidRPr="007F56CA">
        <w:rPr>
          <w:rFonts w:ascii="Calibri" w:hAnsi="Calibri" w:cs="Calibri"/>
        </w:rPr>
        <w:t>l</w:t>
      </w:r>
      <w:r w:rsidR="001776DF" w:rsidRPr="007F56CA">
        <w:rPr>
          <w:rFonts w:ascii="Calibri" w:hAnsi="Calibri" w:cs="Calibri"/>
        </w:rPr>
        <w:t>’</w:t>
      </w:r>
      <w:r w:rsidRPr="007F56CA">
        <w:rPr>
          <w:rFonts w:ascii="Calibri" w:hAnsi="Calibri" w:cs="Calibri"/>
        </w:rPr>
        <w:t>ensemble du marché et que le manquement n</w:t>
      </w:r>
      <w:r w:rsidR="001776DF" w:rsidRPr="007F56CA">
        <w:rPr>
          <w:rFonts w:ascii="Calibri" w:hAnsi="Calibri" w:cs="Calibri"/>
        </w:rPr>
        <w:t>’</w:t>
      </w:r>
      <w:r w:rsidRPr="007F56CA">
        <w:rPr>
          <w:rFonts w:ascii="Calibri" w:hAnsi="Calibri" w:cs="Calibri"/>
        </w:rPr>
        <w:t>a pas été corrigé ou n</w:t>
      </w:r>
      <w:r w:rsidR="001776DF" w:rsidRPr="007F56CA">
        <w:rPr>
          <w:rFonts w:ascii="Calibri" w:hAnsi="Calibri" w:cs="Calibri"/>
        </w:rPr>
        <w:t>’</w:t>
      </w:r>
      <w:r w:rsidRPr="007F56CA">
        <w:rPr>
          <w:rFonts w:ascii="Calibri" w:hAnsi="Calibri" w:cs="Calibri"/>
        </w:rPr>
        <w:t>a pas fait l</w:t>
      </w:r>
      <w:r w:rsidR="001776DF" w:rsidRPr="007F56CA">
        <w:rPr>
          <w:rFonts w:ascii="Calibri" w:hAnsi="Calibri" w:cs="Calibri"/>
        </w:rPr>
        <w:t>’</w:t>
      </w:r>
      <w:r w:rsidRPr="007F56CA">
        <w:rPr>
          <w:rFonts w:ascii="Calibri" w:hAnsi="Calibri" w:cs="Calibri"/>
        </w:rPr>
        <w:t>objet d</w:t>
      </w:r>
      <w:r w:rsidR="001776DF" w:rsidRPr="007F56CA">
        <w:rPr>
          <w:rFonts w:ascii="Calibri" w:hAnsi="Calibri" w:cs="Calibri"/>
        </w:rPr>
        <w:t>’</w:t>
      </w:r>
      <w:r w:rsidRPr="007F56CA">
        <w:rPr>
          <w:rFonts w:ascii="Calibri" w:hAnsi="Calibri" w:cs="Calibri"/>
        </w:rPr>
        <w:t>une renonciation</w:t>
      </w:r>
      <w:r w:rsidR="001776DF" w:rsidRPr="007F56CA">
        <w:rPr>
          <w:rFonts w:ascii="Calibri" w:hAnsi="Calibri" w:cs="Calibri"/>
        </w:rPr>
        <w:t> ;</w:t>
      </w:r>
      <w:r w:rsidRPr="007F56CA">
        <w:rPr>
          <w:rFonts w:ascii="Calibri" w:hAnsi="Calibri" w:cs="Calibri"/>
        </w:rPr>
        <w:t xml:space="preserve"> ou 2) l</w:t>
      </w:r>
      <w:r w:rsidR="001776DF" w:rsidRPr="007F56CA">
        <w:rPr>
          <w:rFonts w:ascii="Calibri" w:hAnsi="Calibri" w:cs="Calibri"/>
        </w:rPr>
        <w:t>’</w:t>
      </w:r>
      <w:r w:rsidRPr="007F56CA">
        <w:rPr>
          <w:rFonts w:ascii="Calibri" w:hAnsi="Calibri" w:cs="Calibri"/>
        </w:rPr>
        <w:t>accord autorise l</w:t>
      </w:r>
      <w:r w:rsidR="001776DF" w:rsidRPr="007F56CA">
        <w:rPr>
          <w:rFonts w:ascii="Calibri" w:hAnsi="Calibri" w:cs="Calibri"/>
        </w:rPr>
        <w:t>’</w:t>
      </w:r>
      <w:r w:rsidRPr="007F56CA">
        <w:rPr>
          <w:rFonts w:ascii="Calibri" w:hAnsi="Calibri" w:cs="Calibri"/>
        </w:rPr>
        <w:t>annulation pour manquement. Cependant, la résiliation d</w:t>
      </w:r>
      <w:r w:rsidR="001776DF" w:rsidRPr="007F56CA">
        <w:rPr>
          <w:rFonts w:ascii="Calibri" w:hAnsi="Calibri" w:cs="Calibri"/>
        </w:rPr>
        <w:t>’</w:t>
      </w:r>
      <w:r w:rsidRPr="007F56CA">
        <w:rPr>
          <w:rFonts w:ascii="Calibri" w:hAnsi="Calibri" w:cs="Calibri"/>
        </w:rPr>
        <w:t>un marché n</w:t>
      </w:r>
      <w:r w:rsidR="001776DF" w:rsidRPr="007F56CA">
        <w:rPr>
          <w:rFonts w:ascii="Calibri" w:hAnsi="Calibri" w:cs="Calibri"/>
        </w:rPr>
        <w:t>’</w:t>
      </w:r>
      <w:r w:rsidRPr="007F56CA">
        <w:rPr>
          <w:rFonts w:ascii="Calibri" w:hAnsi="Calibri" w:cs="Calibri"/>
        </w:rPr>
        <w:t>est pas une mesure recommandée. Si l</w:t>
      </w:r>
      <w:r w:rsidR="001776DF" w:rsidRPr="007F56CA">
        <w:rPr>
          <w:rFonts w:ascii="Calibri" w:hAnsi="Calibri" w:cs="Calibri"/>
        </w:rPr>
        <w:t>’</w:t>
      </w:r>
      <w:r w:rsidRPr="007F56CA">
        <w:rPr>
          <w:rFonts w:ascii="Calibri" w:hAnsi="Calibri" w:cs="Calibri"/>
        </w:rPr>
        <w:t>entité adjudicatrice souhaite toujours demander la résiliation, les fonctionnaires chargés de l</w:t>
      </w:r>
      <w:r w:rsidR="001776DF" w:rsidRPr="007F56CA">
        <w:rPr>
          <w:rFonts w:ascii="Calibri" w:hAnsi="Calibri" w:cs="Calibri"/>
        </w:rPr>
        <w:t>’</w:t>
      </w:r>
      <w:r w:rsidRPr="007F56CA">
        <w:rPr>
          <w:rFonts w:ascii="Calibri" w:hAnsi="Calibri" w:cs="Calibri"/>
        </w:rPr>
        <w:t xml:space="preserve">approvisionnement doivent contacter le Bureau juridique pour obtenir des conseils et une approbation. </w:t>
      </w:r>
      <w:r w:rsidRPr="007F56CA">
        <w:rPr>
          <w:rFonts w:ascii="Calibri" w:hAnsi="Calibri" w:cs="Calibri"/>
          <w:vanish/>
        </w:rPr>
        <w:t>Structure Element - Relevant Policies</w:t>
      </w:r>
      <w:r w:rsidRPr="007F56CA">
        <w:rPr>
          <w:rFonts w:ascii="Calibri" w:hAnsi="Calibri" w:cs="Calibri"/>
        </w:rPr>
        <w:t xml:space="preserve">Voir les détails sur les </w:t>
      </w:r>
      <w:r w:rsidRPr="007F56CA">
        <w:rPr>
          <w:rFonts w:ascii="Calibri" w:hAnsi="Calibri" w:cs="Calibri"/>
          <w:b/>
        </w:rPr>
        <w:t>réclamations, les différends contractuels et le règlement des différends</w:t>
      </w:r>
      <w:r w:rsidRPr="007F56CA">
        <w:rPr>
          <w:rFonts w:ascii="Calibri" w:hAnsi="Calibri" w:cs="Calibri"/>
        </w:rPr>
        <w:t xml:space="preserve"> dans ce </w:t>
      </w:r>
      <w:r w:rsidR="00544CB5">
        <w:rPr>
          <w:rFonts w:ascii="Calibri" w:hAnsi="Calibri" w:cs="Calibri"/>
        </w:rPr>
        <w:t>politique</w:t>
      </w:r>
      <w:r w:rsidRPr="007F56CA">
        <w:rPr>
          <w:rFonts w:ascii="Calibri" w:hAnsi="Calibri" w:cs="Calibri"/>
        </w:rPr>
        <w:t>.</w:t>
      </w:r>
    </w:p>
    <w:p w14:paraId="35422813" w14:textId="77777777" w:rsidR="00A55627" w:rsidRDefault="00A55627" w:rsidP="00A55627">
      <w:pPr>
        <w:shd w:val="clear" w:color="auto" w:fill="FFFFFF"/>
        <w:jc w:val="both"/>
        <w:textAlignment w:val="top"/>
        <w:rPr>
          <w:rFonts w:ascii="Calibri" w:hAnsi="Calibri" w:cs="Arial"/>
          <w:vanish/>
        </w:rPr>
      </w:pPr>
      <w:r>
        <w:rPr>
          <w:rFonts w:ascii="Calibri" w:hAnsi="Calibri"/>
          <w:vanish/>
        </w:rPr>
        <w:t>Structure Element - Deliverables</w:t>
      </w:r>
    </w:p>
    <w:p w14:paraId="46083F50" w14:textId="77777777" w:rsidR="001B37EA" w:rsidRPr="0094149F" w:rsidRDefault="001B37EA" w:rsidP="0094149F">
      <w:pPr>
        <w:rPr>
          <w:rFonts w:asciiTheme="majorHAnsi" w:hAnsiTheme="majorHAnsi" w:cs="ITCGaramondStd-Bk"/>
          <w:b/>
        </w:rPr>
      </w:pPr>
    </w:p>
    <w:p w14:paraId="4571B4CE" w14:textId="77777777" w:rsidR="00030C5D" w:rsidRPr="001B37EA" w:rsidRDefault="008B1BF7" w:rsidP="00A80A0C">
      <w:pPr>
        <w:pStyle w:val="ListParagraph"/>
        <w:autoSpaceDE w:val="0"/>
        <w:autoSpaceDN w:val="0"/>
        <w:adjustRightInd w:val="0"/>
        <w:spacing w:line="240" w:lineRule="auto"/>
        <w:jc w:val="both"/>
        <w:rPr>
          <w:rFonts w:asciiTheme="majorHAnsi" w:hAnsiTheme="majorHAnsi" w:cs="ITCGaramondStd-Bk"/>
          <w:b/>
        </w:rPr>
      </w:pPr>
      <w:r>
        <w:rPr>
          <w:rFonts w:asciiTheme="majorHAnsi" w:hAnsiTheme="majorHAnsi"/>
          <w:b/>
        </w:rPr>
        <w:t>Achèvement, clôture du marché</w:t>
      </w:r>
    </w:p>
    <w:p w14:paraId="36322D63" w14:textId="77777777" w:rsidR="00713021" w:rsidRPr="00A80A0C" w:rsidRDefault="00713021" w:rsidP="00A80A0C">
      <w:pPr>
        <w:pStyle w:val="ListParagraph"/>
        <w:autoSpaceDE w:val="0"/>
        <w:autoSpaceDN w:val="0"/>
        <w:adjustRightInd w:val="0"/>
        <w:spacing w:line="240" w:lineRule="auto"/>
        <w:jc w:val="both"/>
        <w:rPr>
          <w:rFonts w:asciiTheme="majorHAnsi" w:hAnsiTheme="majorHAnsi" w:cs="ITCGaramondStd-Bk"/>
          <w:b/>
        </w:rPr>
      </w:pPr>
    </w:p>
    <w:p w14:paraId="3E03EDAE" w14:textId="77777777" w:rsidR="005C61DC" w:rsidRPr="007F56CA" w:rsidRDefault="005C61DC" w:rsidP="00A80A0C">
      <w:pPr>
        <w:pStyle w:val="ListParagraph"/>
        <w:numPr>
          <w:ilvl w:val="0"/>
          <w:numId w:val="28"/>
        </w:numPr>
        <w:autoSpaceDE w:val="0"/>
        <w:autoSpaceDN w:val="0"/>
        <w:adjustRightInd w:val="0"/>
        <w:spacing w:line="240" w:lineRule="auto"/>
        <w:jc w:val="both"/>
        <w:rPr>
          <w:rFonts w:asciiTheme="majorHAnsi" w:hAnsiTheme="majorHAnsi"/>
        </w:rPr>
      </w:pPr>
      <w:r w:rsidRPr="007F56CA">
        <w:rPr>
          <w:rFonts w:asciiTheme="majorHAnsi" w:hAnsiTheme="majorHAnsi"/>
        </w:rPr>
        <w:t>L</w:t>
      </w:r>
      <w:r w:rsidR="001776DF" w:rsidRPr="007F56CA">
        <w:rPr>
          <w:rFonts w:asciiTheme="majorHAnsi" w:hAnsiTheme="majorHAnsi"/>
        </w:rPr>
        <w:t>’</w:t>
      </w:r>
      <w:r w:rsidRPr="007F56CA">
        <w:rPr>
          <w:rFonts w:asciiTheme="majorHAnsi" w:hAnsiTheme="majorHAnsi"/>
        </w:rPr>
        <w:t>unité chargée des achats doit, à la requête de l</w:t>
      </w:r>
      <w:r w:rsidR="001776DF" w:rsidRPr="007F56CA">
        <w:rPr>
          <w:rFonts w:asciiTheme="majorHAnsi" w:hAnsiTheme="majorHAnsi"/>
        </w:rPr>
        <w:t>’</w:t>
      </w:r>
      <w:r w:rsidR="000721FF" w:rsidRPr="007F56CA">
        <w:rPr>
          <w:rFonts w:asciiTheme="majorHAnsi" w:hAnsiTheme="majorHAnsi"/>
        </w:rPr>
        <w:t>unité requérante</w:t>
      </w:r>
      <w:r w:rsidRPr="007F56CA">
        <w:rPr>
          <w:rFonts w:asciiTheme="majorHAnsi" w:hAnsiTheme="majorHAnsi"/>
        </w:rPr>
        <w:t>, clôturer</w:t>
      </w:r>
      <w:r w:rsidR="00A95F83" w:rsidRPr="007F56CA">
        <w:rPr>
          <w:rStyle w:val="FootnoteReference"/>
          <w:rFonts w:asciiTheme="majorHAnsi" w:hAnsiTheme="majorHAnsi" w:cs="Arial"/>
        </w:rPr>
        <w:footnoteReference w:id="5"/>
      </w:r>
      <w:r w:rsidRPr="007F56CA">
        <w:rPr>
          <w:rFonts w:asciiTheme="majorHAnsi" w:hAnsiTheme="majorHAnsi"/>
        </w:rPr>
        <w:t xml:space="preserve"> le marché dès la livraison de tous les biens, travaux, ou services requis.</w:t>
      </w:r>
      <w:r w:rsidR="001776DF" w:rsidRPr="007F56CA">
        <w:rPr>
          <w:rFonts w:asciiTheme="majorHAnsi" w:hAnsiTheme="majorHAnsi"/>
        </w:rPr>
        <w:t xml:space="preserve"> </w:t>
      </w:r>
      <w:r w:rsidRPr="007F56CA">
        <w:rPr>
          <w:rFonts w:asciiTheme="majorHAnsi" w:hAnsiTheme="majorHAnsi"/>
        </w:rPr>
        <w:t>Tous les paiements dus au fournisseur doivent être effectués en temps utile et le bon de commande doit être immédiatement clôturé. La garantie de bonne exécution doit être restituée conformément aux termes du marché et à la garantie bancaire. Le fournisseur doit restituer sans délai au PNUD tout équipement ou matériel non utilisé fourni par le PNUD.</w:t>
      </w:r>
      <w:r w:rsidR="001776DF" w:rsidRPr="007F56CA">
        <w:rPr>
          <w:rFonts w:asciiTheme="majorHAnsi" w:hAnsiTheme="majorHAnsi"/>
        </w:rPr>
        <w:t xml:space="preserve"> </w:t>
      </w:r>
      <w:r w:rsidRPr="007F56CA">
        <w:rPr>
          <w:rFonts w:asciiTheme="majorHAnsi" w:hAnsiTheme="majorHAnsi"/>
        </w:rPr>
        <w:t>Le marché ne doit pas être clôturé s</w:t>
      </w:r>
      <w:r w:rsidR="001776DF" w:rsidRPr="007F56CA">
        <w:rPr>
          <w:rFonts w:asciiTheme="majorHAnsi" w:hAnsiTheme="majorHAnsi"/>
        </w:rPr>
        <w:t>’</w:t>
      </w:r>
      <w:r w:rsidRPr="007F56CA">
        <w:rPr>
          <w:rFonts w:asciiTheme="majorHAnsi" w:hAnsiTheme="majorHAnsi"/>
        </w:rPr>
        <w:t>il y a des différends en cours entre les parties.</w:t>
      </w:r>
    </w:p>
    <w:p w14:paraId="37C20753" w14:textId="77777777" w:rsidR="00D260E2" w:rsidRPr="00623F2C" w:rsidRDefault="00D260E2" w:rsidP="00A80A0C">
      <w:pPr>
        <w:autoSpaceDE w:val="0"/>
        <w:autoSpaceDN w:val="0"/>
        <w:adjustRightInd w:val="0"/>
        <w:jc w:val="both"/>
        <w:rPr>
          <w:rFonts w:asciiTheme="majorHAnsi" w:eastAsiaTheme="minorEastAsia" w:hAnsiTheme="majorHAnsi" w:cs="ITCGaramondStd-Bk"/>
          <w:sz w:val="22"/>
          <w:szCs w:val="22"/>
        </w:rPr>
      </w:pPr>
    </w:p>
    <w:p w14:paraId="299FD033" w14:textId="77777777" w:rsidR="00030C5D" w:rsidRPr="00623F2C" w:rsidRDefault="008B1BF7" w:rsidP="00A80A0C">
      <w:pPr>
        <w:pStyle w:val="ListParagraph"/>
        <w:autoSpaceDE w:val="0"/>
        <w:autoSpaceDN w:val="0"/>
        <w:adjustRightInd w:val="0"/>
        <w:spacing w:line="240" w:lineRule="auto"/>
        <w:jc w:val="both"/>
        <w:rPr>
          <w:rFonts w:asciiTheme="majorHAnsi" w:hAnsiTheme="majorHAnsi" w:cs="ITCGaramondStd-Bk"/>
          <w:b/>
        </w:rPr>
      </w:pPr>
      <w:r>
        <w:rPr>
          <w:rFonts w:asciiTheme="majorHAnsi" w:hAnsiTheme="majorHAnsi"/>
          <w:b/>
        </w:rPr>
        <w:t>Documentation efficace</w:t>
      </w:r>
    </w:p>
    <w:p w14:paraId="7302EE38" w14:textId="77777777" w:rsidR="00713021" w:rsidRPr="00A80A0C" w:rsidRDefault="00713021" w:rsidP="00A80A0C">
      <w:pPr>
        <w:pStyle w:val="ListParagraph"/>
        <w:autoSpaceDE w:val="0"/>
        <w:autoSpaceDN w:val="0"/>
        <w:adjustRightInd w:val="0"/>
        <w:spacing w:line="240" w:lineRule="auto"/>
        <w:jc w:val="both"/>
        <w:rPr>
          <w:rFonts w:asciiTheme="majorHAnsi" w:hAnsiTheme="majorHAnsi" w:cs="ITCGaramondStd-Bk"/>
          <w:b/>
        </w:rPr>
      </w:pPr>
    </w:p>
    <w:p w14:paraId="5279D54D" w14:textId="77777777" w:rsidR="00AA6277" w:rsidRPr="001B37EA" w:rsidRDefault="0011387E" w:rsidP="000D3616">
      <w:pPr>
        <w:pStyle w:val="ListParagraph"/>
        <w:numPr>
          <w:ilvl w:val="0"/>
          <w:numId w:val="28"/>
        </w:numPr>
        <w:autoSpaceDE w:val="0"/>
        <w:autoSpaceDN w:val="0"/>
        <w:adjustRightInd w:val="0"/>
        <w:spacing w:line="240" w:lineRule="auto"/>
        <w:jc w:val="both"/>
        <w:rPr>
          <w:rFonts w:asciiTheme="majorHAnsi" w:hAnsiTheme="majorHAnsi" w:cs="ITCGaramondStd-Bk"/>
        </w:rPr>
      </w:pPr>
      <w:r>
        <w:rPr>
          <w:rFonts w:asciiTheme="majorHAnsi" w:hAnsiTheme="majorHAnsi"/>
        </w:rPr>
        <w:t>Les unités chargées des achats, des finances et l</w:t>
      </w:r>
      <w:r w:rsidR="001776DF">
        <w:rPr>
          <w:rFonts w:asciiTheme="majorHAnsi" w:hAnsiTheme="majorHAnsi"/>
        </w:rPr>
        <w:t>’</w:t>
      </w:r>
      <w:r w:rsidR="000721FF">
        <w:rPr>
          <w:rFonts w:asciiTheme="majorHAnsi" w:hAnsiTheme="majorHAnsi"/>
        </w:rPr>
        <w:t>unité requérante</w:t>
      </w:r>
      <w:r>
        <w:rPr>
          <w:rFonts w:asciiTheme="majorHAnsi" w:hAnsiTheme="majorHAnsi"/>
        </w:rPr>
        <w:t xml:space="preserve"> doivent veiller à ce que tous les documents relatifs à leur rôle dans la gestion des marchés soient complets, à jour, signés au besoin et classés de manière appropriée.</w:t>
      </w:r>
    </w:p>
    <w:p w14:paraId="26F8C7A9" w14:textId="77777777" w:rsidR="00713021" w:rsidRPr="00A80A0C" w:rsidRDefault="00713021" w:rsidP="000D3616">
      <w:pPr>
        <w:pStyle w:val="ListParagraph"/>
        <w:autoSpaceDE w:val="0"/>
        <w:autoSpaceDN w:val="0"/>
        <w:adjustRightInd w:val="0"/>
        <w:spacing w:line="240" w:lineRule="auto"/>
        <w:jc w:val="both"/>
        <w:rPr>
          <w:rFonts w:asciiTheme="majorHAnsi" w:hAnsiTheme="majorHAnsi" w:cs="ITCGaramondStd-Bk"/>
        </w:rPr>
      </w:pPr>
    </w:p>
    <w:p w14:paraId="31106C52" w14:textId="77777777" w:rsidR="00030C5D" w:rsidRPr="00A80A0C" w:rsidRDefault="00BE1970" w:rsidP="000D3616">
      <w:pPr>
        <w:pStyle w:val="ListParagraph"/>
        <w:numPr>
          <w:ilvl w:val="0"/>
          <w:numId w:val="28"/>
        </w:numPr>
        <w:spacing w:line="240" w:lineRule="auto"/>
        <w:jc w:val="both"/>
        <w:rPr>
          <w:rFonts w:asciiTheme="majorHAnsi" w:hAnsiTheme="majorHAnsi"/>
        </w:rPr>
      </w:pPr>
      <w:r>
        <w:rPr>
          <w:rFonts w:asciiTheme="majorHAnsi" w:hAnsiTheme="majorHAnsi"/>
        </w:rPr>
        <w:lastRenderedPageBreak/>
        <w:t>Les documents requis comprennent les originaux des marchés, toutes les modifications du marché, toutes les communications avec le fournisseur (correspondance électronique, interne et externe), les documents d</w:t>
      </w:r>
      <w:r w:rsidR="001776DF">
        <w:rPr>
          <w:rFonts w:asciiTheme="majorHAnsi" w:hAnsiTheme="majorHAnsi"/>
        </w:rPr>
        <w:t>’</w:t>
      </w:r>
      <w:r>
        <w:rPr>
          <w:rFonts w:asciiTheme="majorHAnsi" w:hAnsiTheme="majorHAnsi"/>
        </w:rPr>
        <w:t>adjudication incluant l</w:t>
      </w:r>
      <w:r w:rsidR="001776DF">
        <w:rPr>
          <w:rFonts w:asciiTheme="majorHAnsi" w:hAnsiTheme="majorHAnsi"/>
        </w:rPr>
        <w:t>’</w:t>
      </w:r>
      <w:r>
        <w:rPr>
          <w:rFonts w:asciiTheme="majorHAnsi" w:hAnsiTheme="majorHAnsi"/>
        </w:rPr>
        <w:t>offre gagnante pour les références lors de la mise en œuvre du marché, les procès-verbaux des réunions, les notes de conversations téléphoniques, les rapports, les photos, les films vidéo, les preuves de réception des marchandises telles que des documents d</w:t>
      </w:r>
      <w:r w:rsidR="001776DF">
        <w:rPr>
          <w:rFonts w:asciiTheme="majorHAnsi" w:hAnsiTheme="majorHAnsi"/>
        </w:rPr>
        <w:t>’</w:t>
      </w:r>
      <w:r>
        <w:rPr>
          <w:rFonts w:asciiTheme="majorHAnsi" w:hAnsiTheme="majorHAnsi"/>
        </w:rPr>
        <w:t>expédition, une preuve de paiement, un rapport d</w:t>
      </w:r>
      <w:r w:rsidR="001776DF">
        <w:rPr>
          <w:rFonts w:asciiTheme="majorHAnsi" w:hAnsiTheme="majorHAnsi"/>
        </w:rPr>
        <w:t>’</w:t>
      </w:r>
      <w:r>
        <w:rPr>
          <w:rFonts w:asciiTheme="majorHAnsi" w:hAnsiTheme="majorHAnsi"/>
        </w:rPr>
        <w:t>évaluation du fournisseur et un rapport d</w:t>
      </w:r>
      <w:r w:rsidR="001776DF">
        <w:rPr>
          <w:rFonts w:asciiTheme="majorHAnsi" w:hAnsiTheme="majorHAnsi"/>
        </w:rPr>
        <w:t>’</w:t>
      </w:r>
      <w:r>
        <w:rPr>
          <w:rFonts w:asciiTheme="majorHAnsi" w:hAnsiTheme="majorHAnsi"/>
        </w:rPr>
        <w:t>acceptation de la part de l</w:t>
      </w:r>
      <w:r w:rsidR="001776DF">
        <w:rPr>
          <w:rFonts w:asciiTheme="majorHAnsi" w:hAnsiTheme="majorHAnsi"/>
        </w:rPr>
        <w:t>’</w:t>
      </w:r>
      <w:r>
        <w:rPr>
          <w:rFonts w:asciiTheme="majorHAnsi" w:hAnsiTheme="majorHAnsi"/>
        </w:rPr>
        <w:t>unité ou de l</w:t>
      </w:r>
      <w:r w:rsidR="001776DF">
        <w:rPr>
          <w:rFonts w:asciiTheme="majorHAnsi" w:hAnsiTheme="majorHAnsi"/>
        </w:rPr>
        <w:t>’</w:t>
      </w:r>
      <w:r>
        <w:rPr>
          <w:rFonts w:asciiTheme="majorHAnsi" w:hAnsiTheme="majorHAnsi"/>
        </w:rPr>
        <w:t>utilisateur final.</w:t>
      </w:r>
    </w:p>
    <w:p w14:paraId="5E185C08" w14:textId="77777777" w:rsidR="00765C5F" w:rsidRPr="00623F2C" w:rsidRDefault="009B450C">
      <w:pPr>
        <w:autoSpaceDE w:val="0"/>
        <w:autoSpaceDN w:val="0"/>
        <w:adjustRightInd w:val="0"/>
        <w:jc w:val="both"/>
        <w:rPr>
          <w:rFonts w:asciiTheme="majorHAnsi" w:eastAsiaTheme="minorEastAsia" w:hAnsiTheme="majorHAnsi" w:cs="Helvetica-Bold"/>
          <w:bCs/>
          <w:sz w:val="22"/>
          <w:szCs w:val="22"/>
        </w:rPr>
      </w:pPr>
      <w:r>
        <w:rPr>
          <w:rFonts w:asciiTheme="majorHAnsi" w:hAnsiTheme="majorHAnsi"/>
          <w:b/>
          <w:bCs/>
          <w:sz w:val="22"/>
          <w:szCs w:val="22"/>
        </w:rPr>
        <w:t>Rôles et responsabilités standard pour la gestion des marchés</w:t>
      </w:r>
      <w:r w:rsidR="001776DF">
        <w:rPr>
          <w:rFonts w:asciiTheme="majorHAnsi" w:hAnsiTheme="majorHAnsi"/>
          <w:b/>
          <w:bCs/>
          <w:sz w:val="22"/>
          <w:szCs w:val="22"/>
        </w:rPr>
        <w:t> :</w:t>
      </w:r>
    </w:p>
    <w:tbl>
      <w:tblPr>
        <w:tblStyle w:val="TableGrid"/>
        <w:tblW w:w="11448" w:type="dxa"/>
        <w:tblInd w:w="-113" w:type="dxa"/>
        <w:tblLook w:val="04A0" w:firstRow="1" w:lastRow="0" w:firstColumn="1" w:lastColumn="0" w:noHBand="0" w:noVBand="1"/>
      </w:tblPr>
      <w:tblGrid>
        <w:gridCol w:w="1771"/>
        <w:gridCol w:w="2071"/>
        <w:gridCol w:w="2230"/>
        <w:gridCol w:w="2371"/>
        <w:gridCol w:w="1217"/>
        <w:gridCol w:w="1788"/>
      </w:tblGrid>
      <w:tr w:rsidR="00C85716" w:rsidRPr="00623F2C" w14:paraId="0C48B233" w14:textId="77777777" w:rsidTr="004161DB">
        <w:tc>
          <w:tcPr>
            <w:tcW w:w="1908" w:type="dxa"/>
          </w:tcPr>
          <w:p w14:paraId="678F7B5E" w14:textId="77777777" w:rsidR="00765C5F" w:rsidRPr="00A80A0C" w:rsidRDefault="00765C5F">
            <w:pPr>
              <w:autoSpaceDE w:val="0"/>
              <w:autoSpaceDN w:val="0"/>
              <w:adjustRightInd w:val="0"/>
              <w:jc w:val="both"/>
              <w:rPr>
                <w:rFonts w:asciiTheme="majorHAnsi" w:eastAsiaTheme="minorEastAsia" w:hAnsiTheme="majorHAnsi" w:cs="Helvetica-Bold"/>
                <w:bCs/>
                <w:sz w:val="22"/>
                <w:szCs w:val="22"/>
              </w:rPr>
            </w:pPr>
            <w:r>
              <w:rPr>
                <w:rFonts w:asciiTheme="majorHAnsi" w:hAnsiTheme="majorHAnsi"/>
                <w:bCs/>
                <w:sz w:val="22"/>
                <w:szCs w:val="22"/>
              </w:rPr>
              <w:t>Activité</w:t>
            </w:r>
          </w:p>
        </w:tc>
        <w:tc>
          <w:tcPr>
            <w:tcW w:w="1572" w:type="dxa"/>
          </w:tcPr>
          <w:p w14:paraId="067CA489" w14:textId="77777777" w:rsidR="00765C5F" w:rsidRPr="00A80A0C" w:rsidRDefault="00765C5F">
            <w:pPr>
              <w:autoSpaceDE w:val="0"/>
              <w:autoSpaceDN w:val="0"/>
              <w:adjustRightInd w:val="0"/>
              <w:jc w:val="both"/>
              <w:rPr>
                <w:rFonts w:asciiTheme="majorHAnsi" w:eastAsiaTheme="minorEastAsia" w:hAnsiTheme="majorHAnsi" w:cs="Helvetica-Bold"/>
                <w:bCs/>
                <w:sz w:val="22"/>
                <w:szCs w:val="22"/>
              </w:rPr>
            </w:pPr>
            <w:r>
              <w:rPr>
                <w:rFonts w:asciiTheme="majorHAnsi" w:hAnsiTheme="majorHAnsi"/>
                <w:bCs/>
                <w:sz w:val="22"/>
                <w:szCs w:val="22"/>
              </w:rPr>
              <w:t>Principale responsabilité</w:t>
            </w:r>
          </w:p>
        </w:tc>
        <w:tc>
          <w:tcPr>
            <w:tcW w:w="2321" w:type="dxa"/>
          </w:tcPr>
          <w:p w14:paraId="76C0D802" w14:textId="77777777" w:rsidR="00765C5F" w:rsidRPr="00A80A0C" w:rsidRDefault="00765C5F">
            <w:pPr>
              <w:autoSpaceDE w:val="0"/>
              <w:autoSpaceDN w:val="0"/>
              <w:adjustRightInd w:val="0"/>
              <w:jc w:val="both"/>
              <w:rPr>
                <w:rFonts w:asciiTheme="majorHAnsi" w:eastAsiaTheme="minorEastAsia" w:hAnsiTheme="majorHAnsi" w:cs="Helvetica-Bold"/>
                <w:bCs/>
                <w:sz w:val="22"/>
                <w:szCs w:val="22"/>
              </w:rPr>
            </w:pPr>
            <w:r>
              <w:rPr>
                <w:rFonts w:asciiTheme="majorHAnsi" w:hAnsiTheme="majorHAnsi"/>
                <w:bCs/>
                <w:sz w:val="22"/>
                <w:szCs w:val="22"/>
              </w:rPr>
              <w:t>Activités connexes de l</w:t>
            </w:r>
            <w:r w:rsidR="001776DF">
              <w:rPr>
                <w:rFonts w:asciiTheme="majorHAnsi" w:hAnsiTheme="majorHAnsi"/>
                <w:bCs/>
                <w:sz w:val="22"/>
                <w:szCs w:val="22"/>
              </w:rPr>
              <w:t>’</w:t>
            </w:r>
            <w:r>
              <w:rPr>
                <w:rFonts w:asciiTheme="majorHAnsi" w:hAnsiTheme="majorHAnsi"/>
                <w:bCs/>
                <w:sz w:val="22"/>
                <w:szCs w:val="22"/>
              </w:rPr>
              <w:t>unité chargée des achats</w:t>
            </w:r>
          </w:p>
        </w:tc>
        <w:tc>
          <w:tcPr>
            <w:tcW w:w="2603" w:type="dxa"/>
          </w:tcPr>
          <w:p w14:paraId="5F2BC66D" w14:textId="77777777" w:rsidR="00765C5F" w:rsidRPr="00A80A0C" w:rsidRDefault="00765C5F">
            <w:pPr>
              <w:autoSpaceDE w:val="0"/>
              <w:autoSpaceDN w:val="0"/>
              <w:adjustRightInd w:val="0"/>
              <w:jc w:val="both"/>
              <w:rPr>
                <w:rFonts w:asciiTheme="majorHAnsi" w:eastAsiaTheme="minorEastAsia" w:hAnsiTheme="majorHAnsi" w:cs="Helvetica-Bold"/>
                <w:bCs/>
                <w:sz w:val="22"/>
                <w:szCs w:val="22"/>
              </w:rPr>
            </w:pPr>
            <w:r>
              <w:rPr>
                <w:rFonts w:asciiTheme="majorHAnsi" w:hAnsiTheme="majorHAnsi"/>
                <w:bCs/>
                <w:sz w:val="22"/>
                <w:szCs w:val="22"/>
              </w:rPr>
              <w:t>Activités connexes de l</w:t>
            </w:r>
            <w:r w:rsidR="001776DF">
              <w:rPr>
                <w:rFonts w:asciiTheme="majorHAnsi" w:hAnsiTheme="majorHAnsi"/>
                <w:bCs/>
                <w:sz w:val="22"/>
                <w:szCs w:val="22"/>
              </w:rPr>
              <w:t>’</w:t>
            </w:r>
            <w:r w:rsidR="000721FF">
              <w:rPr>
                <w:rFonts w:asciiTheme="majorHAnsi" w:hAnsiTheme="majorHAnsi"/>
                <w:bCs/>
                <w:sz w:val="22"/>
                <w:szCs w:val="22"/>
              </w:rPr>
              <w:t>unité requérante</w:t>
            </w:r>
          </w:p>
        </w:tc>
        <w:tc>
          <w:tcPr>
            <w:tcW w:w="1126" w:type="dxa"/>
          </w:tcPr>
          <w:p w14:paraId="2D682D9F" w14:textId="77777777" w:rsidR="00765C5F" w:rsidRPr="00A80A0C" w:rsidRDefault="00765C5F">
            <w:pPr>
              <w:autoSpaceDE w:val="0"/>
              <w:autoSpaceDN w:val="0"/>
              <w:adjustRightInd w:val="0"/>
              <w:jc w:val="both"/>
              <w:rPr>
                <w:rFonts w:asciiTheme="majorHAnsi" w:eastAsiaTheme="minorEastAsia" w:hAnsiTheme="majorHAnsi" w:cs="Helvetica-Bold"/>
                <w:bCs/>
                <w:sz w:val="22"/>
                <w:szCs w:val="22"/>
              </w:rPr>
            </w:pPr>
            <w:r>
              <w:rPr>
                <w:rFonts w:asciiTheme="majorHAnsi" w:hAnsiTheme="majorHAnsi"/>
                <w:bCs/>
                <w:sz w:val="22"/>
                <w:szCs w:val="22"/>
              </w:rPr>
              <w:t>Finance</w:t>
            </w:r>
          </w:p>
        </w:tc>
        <w:tc>
          <w:tcPr>
            <w:tcW w:w="1918" w:type="dxa"/>
          </w:tcPr>
          <w:p w14:paraId="10AB076E" w14:textId="77777777" w:rsidR="00765C5F" w:rsidRPr="00A80A0C" w:rsidRDefault="00DD5407">
            <w:pPr>
              <w:autoSpaceDE w:val="0"/>
              <w:autoSpaceDN w:val="0"/>
              <w:adjustRightInd w:val="0"/>
              <w:jc w:val="both"/>
              <w:rPr>
                <w:rFonts w:asciiTheme="majorHAnsi" w:eastAsiaTheme="minorEastAsia" w:hAnsiTheme="majorHAnsi" w:cs="Helvetica-Bold"/>
                <w:bCs/>
                <w:sz w:val="22"/>
                <w:szCs w:val="22"/>
              </w:rPr>
            </w:pPr>
            <w:r>
              <w:rPr>
                <w:rFonts w:asciiTheme="majorHAnsi" w:hAnsiTheme="majorHAnsi"/>
                <w:bCs/>
                <w:sz w:val="22"/>
                <w:szCs w:val="22"/>
              </w:rPr>
              <w:t>Fournisseur</w:t>
            </w:r>
          </w:p>
        </w:tc>
      </w:tr>
      <w:tr w:rsidR="00C85716" w:rsidRPr="00623F2C" w14:paraId="7AD8A4A3" w14:textId="77777777" w:rsidTr="004161DB">
        <w:tc>
          <w:tcPr>
            <w:tcW w:w="1908" w:type="dxa"/>
          </w:tcPr>
          <w:p w14:paraId="5BE8FA95"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Signature du marché</w:t>
            </w:r>
          </w:p>
        </w:tc>
        <w:tc>
          <w:tcPr>
            <w:tcW w:w="1572" w:type="dxa"/>
          </w:tcPr>
          <w:p w14:paraId="13E21ED7"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Unité chargée des achats</w:t>
            </w:r>
          </w:p>
        </w:tc>
        <w:tc>
          <w:tcPr>
            <w:tcW w:w="2321" w:type="dxa"/>
          </w:tcPr>
          <w:p w14:paraId="64C5E97B" w14:textId="77777777" w:rsidR="00765C5F" w:rsidRPr="00A80A0C" w:rsidRDefault="00765C5F">
            <w:pPr>
              <w:autoSpaceDE w:val="0"/>
              <w:autoSpaceDN w:val="0"/>
              <w:adjustRightInd w:val="0"/>
              <w:rPr>
                <w:rFonts w:asciiTheme="majorHAnsi" w:hAnsiTheme="majorHAnsi" w:cs="Helvetica-Bold"/>
                <w:bCs/>
                <w:sz w:val="22"/>
                <w:szCs w:val="22"/>
              </w:rPr>
            </w:pPr>
            <w:r>
              <w:rPr>
                <w:rFonts w:asciiTheme="majorHAnsi" w:hAnsiTheme="majorHAnsi"/>
                <w:bCs/>
                <w:sz w:val="22"/>
                <w:szCs w:val="22"/>
              </w:rPr>
              <w:t>Préparer le marché</w:t>
            </w:r>
          </w:p>
          <w:p w14:paraId="179B098C" w14:textId="77777777" w:rsidR="00A337D0" w:rsidRPr="00A80A0C" w:rsidRDefault="00A337D0">
            <w:pPr>
              <w:autoSpaceDE w:val="0"/>
              <w:autoSpaceDN w:val="0"/>
              <w:adjustRightInd w:val="0"/>
              <w:rPr>
                <w:rFonts w:asciiTheme="majorHAnsi" w:hAnsiTheme="majorHAnsi" w:cs="Helvetica-Bold"/>
                <w:bCs/>
                <w:sz w:val="22"/>
                <w:szCs w:val="22"/>
              </w:rPr>
            </w:pPr>
            <w:r>
              <w:rPr>
                <w:rFonts w:asciiTheme="majorHAnsi" w:hAnsiTheme="majorHAnsi"/>
                <w:bCs/>
                <w:sz w:val="22"/>
                <w:szCs w:val="22"/>
              </w:rPr>
              <w:t>Partager l</w:t>
            </w:r>
            <w:r w:rsidR="001776DF">
              <w:rPr>
                <w:rFonts w:asciiTheme="majorHAnsi" w:hAnsiTheme="majorHAnsi"/>
                <w:bCs/>
                <w:sz w:val="22"/>
                <w:szCs w:val="22"/>
              </w:rPr>
              <w:t>’</w:t>
            </w:r>
            <w:r>
              <w:rPr>
                <w:rFonts w:asciiTheme="majorHAnsi" w:hAnsiTheme="majorHAnsi"/>
                <w:bCs/>
                <w:sz w:val="22"/>
                <w:szCs w:val="22"/>
              </w:rPr>
              <w:t>ébauche du marché pour exame</w:t>
            </w:r>
            <w:r w:rsidR="00CD4BD0">
              <w:rPr>
                <w:rFonts w:asciiTheme="majorHAnsi" w:hAnsiTheme="majorHAnsi"/>
                <w:bCs/>
                <w:sz w:val="22"/>
                <w:szCs w:val="22"/>
              </w:rPr>
              <w:t>n par le soumissionnaire retenu</w:t>
            </w:r>
          </w:p>
          <w:p w14:paraId="31CA0EFC" w14:textId="77777777" w:rsidR="00765C5F" w:rsidRPr="00A80A0C" w:rsidRDefault="00765C5F">
            <w:pPr>
              <w:autoSpaceDE w:val="0"/>
              <w:autoSpaceDN w:val="0"/>
              <w:adjustRightInd w:val="0"/>
              <w:rPr>
                <w:rFonts w:asciiTheme="majorHAnsi" w:hAnsiTheme="majorHAnsi" w:cs="Helvetica-Bold"/>
                <w:bCs/>
                <w:sz w:val="22"/>
                <w:szCs w:val="22"/>
              </w:rPr>
            </w:pPr>
            <w:r>
              <w:rPr>
                <w:rFonts w:asciiTheme="majorHAnsi" w:hAnsiTheme="majorHAnsi"/>
                <w:bCs/>
                <w:sz w:val="22"/>
                <w:szCs w:val="22"/>
              </w:rPr>
              <w:t>Organiser la signature du marché par les autorités désignée</w:t>
            </w:r>
            <w:r w:rsidR="00CD4BD0">
              <w:rPr>
                <w:rFonts w:asciiTheme="majorHAnsi" w:hAnsiTheme="majorHAnsi"/>
                <w:bCs/>
                <w:sz w:val="22"/>
                <w:szCs w:val="22"/>
              </w:rPr>
              <w:t>s au PNUD et par le fournisseur</w:t>
            </w:r>
          </w:p>
          <w:p w14:paraId="2FADAC32" w14:textId="066552D1" w:rsidR="00175DD7" w:rsidRPr="00A80A0C" w:rsidRDefault="00175DD7">
            <w:pPr>
              <w:autoSpaceDE w:val="0"/>
              <w:autoSpaceDN w:val="0"/>
              <w:adjustRightInd w:val="0"/>
              <w:rPr>
                <w:rFonts w:asciiTheme="majorHAnsi" w:hAnsiTheme="majorHAnsi" w:cs="Helvetica-Bold"/>
                <w:bCs/>
                <w:sz w:val="22"/>
                <w:szCs w:val="22"/>
              </w:rPr>
            </w:pPr>
            <w:r>
              <w:rPr>
                <w:rFonts w:asciiTheme="majorHAnsi" w:hAnsiTheme="majorHAnsi"/>
                <w:bCs/>
                <w:sz w:val="22"/>
                <w:szCs w:val="22"/>
              </w:rPr>
              <w:t xml:space="preserve">Transmettre le bon de commande dans </w:t>
            </w:r>
            <w:r w:rsidR="00AF52D9">
              <w:rPr>
                <w:rFonts w:asciiTheme="majorHAnsi" w:hAnsiTheme="majorHAnsi"/>
                <w:bCs/>
                <w:sz w:val="22"/>
                <w:szCs w:val="22"/>
              </w:rPr>
              <w:t>Q</w:t>
            </w:r>
            <w:r w:rsidR="00B877AF">
              <w:rPr>
                <w:rFonts w:asciiTheme="majorHAnsi" w:hAnsiTheme="majorHAnsi"/>
                <w:bCs/>
                <w:sz w:val="22"/>
                <w:szCs w:val="22"/>
              </w:rPr>
              <w:t>uantum</w:t>
            </w:r>
          </w:p>
          <w:p w14:paraId="34B3BB0E" w14:textId="77777777" w:rsidR="00765C5F" w:rsidRPr="00A80A0C" w:rsidRDefault="00765C5F">
            <w:pPr>
              <w:autoSpaceDE w:val="0"/>
              <w:autoSpaceDN w:val="0"/>
              <w:adjustRightInd w:val="0"/>
              <w:rPr>
                <w:rFonts w:asciiTheme="majorHAnsi" w:hAnsiTheme="majorHAnsi" w:cs="Helvetica-Bold"/>
                <w:bCs/>
                <w:sz w:val="22"/>
                <w:szCs w:val="22"/>
              </w:rPr>
            </w:pPr>
            <w:r>
              <w:rPr>
                <w:rFonts w:asciiTheme="majorHAnsi" w:hAnsiTheme="majorHAnsi"/>
                <w:bCs/>
                <w:sz w:val="22"/>
                <w:szCs w:val="22"/>
              </w:rPr>
              <w:t>Classement</w:t>
            </w:r>
          </w:p>
        </w:tc>
        <w:tc>
          <w:tcPr>
            <w:tcW w:w="2603" w:type="dxa"/>
          </w:tcPr>
          <w:p w14:paraId="6E1BC719"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Examiner le marché pour s</w:t>
            </w:r>
            <w:r w:rsidR="001776DF">
              <w:rPr>
                <w:rFonts w:asciiTheme="majorHAnsi" w:hAnsiTheme="majorHAnsi"/>
                <w:bCs/>
                <w:sz w:val="22"/>
                <w:szCs w:val="22"/>
              </w:rPr>
              <w:t>’</w:t>
            </w:r>
            <w:r>
              <w:rPr>
                <w:rFonts w:asciiTheme="majorHAnsi" w:hAnsiTheme="majorHAnsi"/>
                <w:bCs/>
                <w:sz w:val="22"/>
                <w:szCs w:val="22"/>
              </w:rPr>
              <w:t>assurer qu</w:t>
            </w:r>
            <w:r w:rsidR="001776DF">
              <w:rPr>
                <w:rFonts w:asciiTheme="majorHAnsi" w:hAnsiTheme="majorHAnsi"/>
                <w:bCs/>
                <w:sz w:val="22"/>
                <w:szCs w:val="22"/>
              </w:rPr>
              <w:t>’</w:t>
            </w:r>
            <w:r>
              <w:rPr>
                <w:rFonts w:asciiTheme="majorHAnsi" w:hAnsiTheme="majorHAnsi"/>
                <w:bCs/>
                <w:sz w:val="22"/>
                <w:szCs w:val="22"/>
              </w:rPr>
              <w:t>il est conforme aux exigences convenues</w:t>
            </w:r>
          </w:p>
        </w:tc>
        <w:tc>
          <w:tcPr>
            <w:tcW w:w="1126" w:type="dxa"/>
          </w:tcPr>
          <w:p w14:paraId="3AB20112"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59DFD419"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Examiner l</w:t>
            </w:r>
            <w:r w:rsidR="001776DF">
              <w:rPr>
                <w:rFonts w:asciiTheme="majorHAnsi" w:hAnsiTheme="majorHAnsi"/>
                <w:bCs/>
                <w:sz w:val="22"/>
                <w:szCs w:val="22"/>
              </w:rPr>
              <w:t>’</w:t>
            </w:r>
            <w:r>
              <w:rPr>
                <w:rFonts w:asciiTheme="majorHAnsi" w:hAnsiTheme="majorHAnsi"/>
                <w:bCs/>
                <w:sz w:val="22"/>
                <w:szCs w:val="22"/>
              </w:rPr>
              <w:t>ébauche, fournir des commentaires et signer le marché convenu</w:t>
            </w:r>
          </w:p>
        </w:tc>
      </w:tr>
      <w:tr w:rsidR="00C85716" w:rsidRPr="00623F2C" w14:paraId="3BE40DD6" w14:textId="77777777" w:rsidTr="004161DB">
        <w:tc>
          <w:tcPr>
            <w:tcW w:w="1908" w:type="dxa"/>
          </w:tcPr>
          <w:p w14:paraId="6430EE15"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Suivi du marché</w:t>
            </w:r>
          </w:p>
        </w:tc>
        <w:tc>
          <w:tcPr>
            <w:tcW w:w="1572" w:type="dxa"/>
          </w:tcPr>
          <w:p w14:paraId="442A98FC" w14:textId="77777777" w:rsidR="00765C5F" w:rsidRPr="00A80A0C" w:rsidRDefault="000721F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Unité requérante</w:t>
            </w:r>
          </w:p>
        </w:tc>
        <w:tc>
          <w:tcPr>
            <w:tcW w:w="2321" w:type="dxa"/>
          </w:tcPr>
          <w:p w14:paraId="313BD0F7" w14:textId="77777777" w:rsidR="0051091C" w:rsidRPr="00A80A0C" w:rsidRDefault="00373215">
            <w:pPr>
              <w:autoSpaceDE w:val="0"/>
              <w:autoSpaceDN w:val="0"/>
              <w:adjustRightInd w:val="0"/>
              <w:rPr>
                <w:rFonts w:asciiTheme="majorHAnsi" w:hAnsiTheme="majorHAnsi" w:cs="Helvetica-Bold"/>
                <w:bCs/>
                <w:sz w:val="22"/>
                <w:szCs w:val="22"/>
              </w:rPr>
            </w:pPr>
            <w:r>
              <w:rPr>
                <w:rFonts w:asciiTheme="majorHAnsi" w:hAnsiTheme="majorHAnsi"/>
                <w:bCs/>
                <w:sz w:val="22"/>
                <w:szCs w:val="22"/>
              </w:rPr>
              <w:t>Organiser des réunions de lancement si nécessaire avec le fournisseur et l</w:t>
            </w:r>
            <w:r w:rsidR="001776DF">
              <w:rPr>
                <w:rFonts w:asciiTheme="majorHAnsi" w:hAnsiTheme="majorHAnsi"/>
                <w:bCs/>
                <w:sz w:val="22"/>
                <w:szCs w:val="22"/>
              </w:rPr>
              <w:t>’</w:t>
            </w:r>
            <w:r w:rsidR="000721FF">
              <w:rPr>
                <w:rFonts w:asciiTheme="majorHAnsi" w:hAnsiTheme="majorHAnsi"/>
                <w:bCs/>
                <w:sz w:val="22"/>
                <w:szCs w:val="22"/>
              </w:rPr>
              <w:t>unité requérante</w:t>
            </w:r>
          </w:p>
          <w:p w14:paraId="5ECC7044" w14:textId="77777777" w:rsidR="00DF3BE7" w:rsidRPr="00A80A0C" w:rsidRDefault="00DF3BE7">
            <w:pPr>
              <w:autoSpaceDE w:val="0"/>
              <w:autoSpaceDN w:val="0"/>
              <w:adjustRightInd w:val="0"/>
              <w:rPr>
                <w:rFonts w:asciiTheme="majorHAnsi" w:hAnsiTheme="majorHAnsi" w:cs="Helvetica-Bold"/>
                <w:bCs/>
                <w:sz w:val="22"/>
                <w:szCs w:val="22"/>
              </w:rPr>
            </w:pPr>
            <w:r>
              <w:rPr>
                <w:rFonts w:asciiTheme="majorHAnsi" w:hAnsiTheme="majorHAnsi"/>
                <w:bCs/>
                <w:sz w:val="22"/>
                <w:szCs w:val="22"/>
              </w:rPr>
              <w:t xml:space="preserve">Classer les correspondances pertinentes, </w:t>
            </w:r>
            <w:r w:rsidR="00CD4BD0">
              <w:rPr>
                <w:rFonts w:asciiTheme="majorHAnsi" w:hAnsiTheme="majorHAnsi"/>
                <w:bCs/>
                <w:sz w:val="22"/>
                <w:szCs w:val="22"/>
              </w:rPr>
              <w:t>les procès-verbaux des réunions</w:t>
            </w:r>
          </w:p>
          <w:p w14:paraId="63FBC70E" w14:textId="77777777" w:rsidR="00765C5F" w:rsidRPr="00A80A0C" w:rsidRDefault="00765C5F">
            <w:pPr>
              <w:autoSpaceDE w:val="0"/>
              <w:autoSpaceDN w:val="0"/>
              <w:adjustRightInd w:val="0"/>
              <w:rPr>
                <w:rFonts w:asciiTheme="majorHAnsi" w:hAnsiTheme="majorHAnsi" w:cs="Helvetica-Bold"/>
                <w:bCs/>
                <w:sz w:val="22"/>
                <w:szCs w:val="22"/>
              </w:rPr>
            </w:pPr>
          </w:p>
        </w:tc>
        <w:tc>
          <w:tcPr>
            <w:tcW w:w="2603" w:type="dxa"/>
          </w:tcPr>
          <w:p w14:paraId="4D104292"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Superviser et surveiller les résultats du fournisseur.</w:t>
            </w:r>
          </w:p>
          <w:p w14:paraId="03D6B6C1" w14:textId="77777777" w:rsidR="0051091C" w:rsidRPr="00A80A0C" w:rsidRDefault="0051091C">
            <w:pPr>
              <w:autoSpaceDE w:val="0"/>
              <w:autoSpaceDN w:val="0"/>
              <w:adjustRightInd w:val="0"/>
              <w:rPr>
                <w:rFonts w:asciiTheme="majorHAnsi" w:hAnsiTheme="majorHAnsi"/>
                <w:sz w:val="22"/>
                <w:szCs w:val="22"/>
              </w:rPr>
            </w:pPr>
          </w:p>
          <w:p w14:paraId="5F2DCA2D"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Gérer les délais convenus pour chaque produit livrable. Vérifier la qualité du travail, des rapports, des livrables</w:t>
            </w:r>
          </w:p>
          <w:p w14:paraId="7AB205CC" w14:textId="77777777" w:rsidR="00DF3BE7" w:rsidRPr="00A80A0C" w:rsidRDefault="00DF3BE7">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Classer les rapports, enregistrer les inspections du site et toutes les interactions de suivi avec le fournisseur</w:t>
            </w:r>
          </w:p>
        </w:tc>
        <w:tc>
          <w:tcPr>
            <w:tcW w:w="1126" w:type="dxa"/>
          </w:tcPr>
          <w:p w14:paraId="1A956111"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6FB989B0"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Atteindre les résultats attendus dans les délais convenus dans le marché</w:t>
            </w:r>
          </w:p>
        </w:tc>
      </w:tr>
      <w:tr w:rsidR="00C85716" w:rsidRPr="00623F2C" w14:paraId="448554F1" w14:textId="77777777" w:rsidTr="004161DB">
        <w:tc>
          <w:tcPr>
            <w:tcW w:w="1908" w:type="dxa"/>
          </w:tcPr>
          <w:p w14:paraId="7AE0859C" w14:textId="77777777" w:rsidR="00C84942" w:rsidRDefault="00C84942">
            <w:pPr>
              <w:autoSpaceDE w:val="0"/>
              <w:autoSpaceDN w:val="0"/>
              <w:adjustRightInd w:val="0"/>
              <w:rPr>
                <w:rFonts w:asciiTheme="majorHAnsi" w:hAnsiTheme="majorHAnsi"/>
                <w:bCs/>
                <w:sz w:val="22"/>
                <w:szCs w:val="22"/>
              </w:rPr>
            </w:pPr>
            <w:r>
              <w:rPr>
                <w:rFonts w:asciiTheme="majorHAnsi" w:hAnsiTheme="majorHAnsi"/>
                <w:bCs/>
                <w:sz w:val="22"/>
                <w:szCs w:val="22"/>
              </w:rPr>
              <w:t>Logistique telle que le dédouanement</w:t>
            </w:r>
          </w:p>
          <w:p w14:paraId="536CA393" w14:textId="77777777" w:rsidR="008A4BA4" w:rsidRDefault="008A4BA4" w:rsidP="008A4BA4">
            <w:pPr>
              <w:rPr>
                <w:rFonts w:asciiTheme="majorHAnsi" w:hAnsiTheme="majorHAnsi"/>
                <w:bCs/>
                <w:sz w:val="22"/>
                <w:szCs w:val="22"/>
              </w:rPr>
            </w:pPr>
          </w:p>
          <w:p w14:paraId="36F3AFF9" w14:textId="77777777" w:rsidR="008A4BA4" w:rsidRPr="008A4BA4" w:rsidRDefault="008A4BA4" w:rsidP="008A4BA4">
            <w:pPr>
              <w:rPr>
                <w:rFonts w:asciiTheme="majorHAnsi" w:eastAsiaTheme="minorEastAsia" w:hAnsiTheme="majorHAnsi" w:cs="Helvetica-Bold"/>
                <w:sz w:val="22"/>
                <w:szCs w:val="22"/>
              </w:rPr>
            </w:pPr>
          </w:p>
        </w:tc>
        <w:tc>
          <w:tcPr>
            <w:tcW w:w="1572" w:type="dxa"/>
          </w:tcPr>
          <w:p w14:paraId="3DB2A625" w14:textId="77777777" w:rsidR="00C84942" w:rsidRPr="00A80A0C" w:rsidRDefault="00C84942">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 xml:space="preserve">Approvisionnement </w:t>
            </w:r>
          </w:p>
        </w:tc>
        <w:tc>
          <w:tcPr>
            <w:tcW w:w="2321" w:type="dxa"/>
          </w:tcPr>
          <w:p w14:paraId="099CA63F" w14:textId="77777777" w:rsidR="00DF3BE7" w:rsidRPr="00A80A0C" w:rsidRDefault="00C84942">
            <w:pPr>
              <w:autoSpaceDE w:val="0"/>
              <w:autoSpaceDN w:val="0"/>
              <w:adjustRightInd w:val="0"/>
              <w:rPr>
                <w:rFonts w:asciiTheme="majorHAnsi" w:hAnsiTheme="majorHAnsi" w:cs="Helvetica-Bold"/>
                <w:bCs/>
                <w:sz w:val="22"/>
                <w:szCs w:val="22"/>
              </w:rPr>
            </w:pPr>
            <w:r>
              <w:rPr>
                <w:rFonts w:asciiTheme="majorHAnsi" w:hAnsiTheme="majorHAnsi"/>
                <w:bCs/>
                <w:sz w:val="22"/>
                <w:szCs w:val="22"/>
              </w:rPr>
              <w:t>Préparer les documents de dédouanement et traiter l</w:t>
            </w:r>
            <w:r w:rsidR="001776DF">
              <w:rPr>
                <w:rFonts w:asciiTheme="majorHAnsi" w:hAnsiTheme="majorHAnsi"/>
                <w:bCs/>
                <w:sz w:val="22"/>
                <w:szCs w:val="22"/>
              </w:rPr>
              <w:t>’</w:t>
            </w:r>
            <w:r>
              <w:rPr>
                <w:rFonts w:asciiTheme="majorHAnsi" w:hAnsiTheme="majorHAnsi"/>
                <w:bCs/>
                <w:sz w:val="22"/>
                <w:szCs w:val="22"/>
              </w:rPr>
              <w:t>au</w:t>
            </w:r>
            <w:r w:rsidR="00CD4BD0">
              <w:rPr>
                <w:rFonts w:asciiTheme="majorHAnsi" w:hAnsiTheme="majorHAnsi"/>
                <w:bCs/>
                <w:sz w:val="22"/>
                <w:szCs w:val="22"/>
              </w:rPr>
              <w:t>torisation avec le gouvernement</w:t>
            </w:r>
          </w:p>
          <w:p w14:paraId="59A27954" w14:textId="77777777" w:rsidR="00C84942" w:rsidRPr="00A80A0C" w:rsidRDefault="00DF3BE7">
            <w:pPr>
              <w:autoSpaceDE w:val="0"/>
              <w:autoSpaceDN w:val="0"/>
              <w:adjustRightInd w:val="0"/>
              <w:rPr>
                <w:rFonts w:asciiTheme="majorHAnsi" w:hAnsiTheme="majorHAnsi" w:cs="Helvetica-Bold"/>
                <w:bCs/>
                <w:sz w:val="22"/>
                <w:szCs w:val="22"/>
              </w:rPr>
            </w:pPr>
            <w:r>
              <w:rPr>
                <w:rFonts w:asciiTheme="majorHAnsi" w:hAnsiTheme="majorHAnsi"/>
                <w:bCs/>
                <w:sz w:val="22"/>
                <w:szCs w:val="22"/>
              </w:rPr>
              <w:t>Partager les copies des documents d</w:t>
            </w:r>
            <w:r w:rsidR="001776DF">
              <w:rPr>
                <w:rFonts w:asciiTheme="majorHAnsi" w:hAnsiTheme="majorHAnsi"/>
                <w:bCs/>
                <w:sz w:val="22"/>
                <w:szCs w:val="22"/>
              </w:rPr>
              <w:t>’</w:t>
            </w:r>
            <w:r>
              <w:rPr>
                <w:rFonts w:asciiTheme="majorHAnsi" w:hAnsiTheme="majorHAnsi"/>
                <w:bCs/>
                <w:sz w:val="22"/>
                <w:szCs w:val="22"/>
              </w:rPr>
              <w:t xml:space="preserve">expédition avec </w:t>
            </w:r>
            <w:r>
              <w:rPr>
                <w:rFonts w:asciiTheme="majorHAnsi" w:hAnsiTheme="majorHAnsi"/>
                <w:bCs/>
                <w:sz w:val="22"/>
                <w:szCs w:val="22"/>
              </w:rPr>
              <w:lastRenderedPageBreak/>
              <w:t>l</w:t>
            </w:r>
            <w:r w:rsidR="001776DF">
              <w:rPr>
                <w:rFonts w:asciiTheme="majorHAnsi" w:hAnsiTheme="majorHAnsi"/>
                <w:bCs/>
                <w:sz w:val="22"/>
                <w:szCs w:val="22"/>
              </w:rPr>
              <w:t>’</w:t>
            </w:r>
            <w:r w:rsidR="000721FF">
              <w:rPr>
                <w:rFonts w:asciiTheme="majorHAnsi" w:hAnsiTheme="majorHAnsi"/>
                <w:bCs/>
                <w:sz w:val="22"/>
                <w:szCs w:val="22"/>
              </w:rPr>
              <w:t>unité requérante</w:t>
            </w:r>
            <w:r>
              <w:rPr>
                <w:rFonts w:asciiTheme="majorHAnsi" w:hAnsiTheme="majorHAnsi"/>
                <w:bCs/>
                <w:sz w:val="22"/>
                <w:szCs w:val="22"/>
              </w:rPr>
              <w:t xml:space="preserve"> pour vérification.</w:t>
            </w:r>
          </w:p>
        </w:tc>
        <w:tc>
          <w:tcPr>
            <w:tcW w:w="2603" w:type="dxa"/>
          </w:tcPr>
          <w:p w14:paraId="49157F6E" w14:textId="77777777" w:rsidR="00C84942" w:rsidRPr="00A80A0C" w:rsidRDefault="00DF3BE7">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lastRenderedPageBreak/>
              <w:t>Vérifier la conformité des documents d</w:t>
            </w:r>
            <w:r w:rsidR="001776DF">
              <w:rPr>
                <w:rFonts w:asciiTheme="majorHAnsi" w:hAnsiTheme="majorHAnsi"/>
                <w:bCs/>
                <w:sz w:val="22"/>
                <w:szCs w:val="22"/>
              </w:rPr>
              <w:t>’</w:t>
            </w:r>
            <w:r>
              <w:rPr>
                <w:rFonts w:asciiTheme="majorHAnsi" w:hAnsiTheme="majorHAnsi"/>
                <w:bCs/>
                <w:sz w:val="22"/>
                <w:szCs w:val="22"/>
              </w:rPr>
              <w:t xml:space="preserve">expédition </w:t>
            </w:r>
          </w:p>
        </w:tc>
        <w:tc>
          <w:tcPr>
            <w:tcW w:w="1126" w:type="dxa"/>
          </w:tcPr>
          <w:p w14:paraId="58C678B9" w14:textId="77777777" w:rsidR="00C84942" w:rsidRPr="00A80A0C" w:rsidRDefault="00C84942">
            <w:pPr>
              <w:autoSpaceDE w:val="0"/>
              <w:autoSpaceDN w:val="0"/>
              <w:adjustRightInd w:val="0"/>
              <w:rPr>
                <w:rFonts w:asciiTheme="majorHAnsi" w:eastAsiaTheme="minorEastAsia" w:hAnsiTheme="majorHAnsi" w:cs="Helvetica-Bold"/>
                <w:bCs/>
                <w:sz w:val="22"/>
                <w:szCs w:val="22"/>
              </w:rPr>
            </w:pPr>
          </w:p>
        </w:tc>
        <w:tc>
          <w:tcPr>
            <w:tcW w:w="1918" w:type="dxa"/>
          </w:tcPr>
          <w:p w14:paraId="51124246" w14:textId="77777777" w:rsidR="00C84942" w:rsidRPr="00A80A0C" w:rsidRDefault="00C84942">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Soumettre les documents d</w:t>
            </w:r>
            <w:r w:rsidR="001776DF">
              <w:rPr>
                <w:rFonts w:asciiTheme="majorHAnsi" w:hAnsiTheme="majorHAnsi"/>
                <w:bCs/>
                <w:sz w:val="22"/>
                <w:szCs w:val="22"/>
              </w:rPr>
              <w:t>’</w:t>
            </w:r>
            <w:r>
              <w:rPr>
                <w:rFonts w:asciiTheme="majorHAnsi" w:hAnsiTheme="majorHAnsi"/>
                <w:bCs/>
                <w:sz w:val="22"/>
                <w:szCs w:val="22"/>
              </w:rPr>
              <w:t>expédition et les documents de dédouanement correspondants</w:t>
            </w:r>
          </w:p>
        </w:tc>
      </w:tr>
      <w:tr w:rsidR="00C85716" w:rsidRPr="00623F2C" w14:paraId="78C73D98" w14:textId="77777777" w:rsidTr="004161DB">
        <w:tc>
          <w:tcPr>
            <w:tcW w:w="1908" w:type="dxa"/>
          </w:tcPr>
          <w:p w14:paraId="4A186F67"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Gestion des changements (variations, réclamations, modifications)</w:t>
            </w:r>
          </w:p>
        </w:tc>
        <w:tc>
          <w:tcPr>
            <w:tcW w:w="1572" w:type="dxa"/>
          </w:tcPr>
          <w:p w14:paraId="267691B2" w14:textId="77777777" w:rsidR="00765C5F" w:rsidRPr="00A80A0C" w:rsidRDefault="000721F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Unité requérante</w:t>
            </w:r>
          </w:p>
        </w:tc>
        <w:tc>
          <w:tcPr>
            <w:tcW w:w="2321" w:type="dxa"/>
          </w:tcPr>
          <w:p w14:paraId="2DC013E3"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 xml:space="preserve">Préparer et vérifier </w:t>
            </w:r>
          </w:p>
          <w:p w14:paraId="3CC7A41C" w14:textId="77777777" w:rsidR="00765C5F" w:rsidRPr="00A80A0C" w:rsidRDefault="00CD4BD0">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les pièces justificatives</w:t>
            </w:r>
          </w:p>
          <w:p w14:paraId="51EFAC4C" w14:textId="77777777" w:rsidR="0051091C" w:rsidRPr="00A80A0C" w:rsidRDefault="0051091C">
            <w:pPr>
              <w:autoSpaceDE w:val="0"/>
              <w:autoSpaceDN w:val="0"/>
              <w:adjustRightInd w:val="0"/>
              <w:rPr>
                <w:rFonts w:asciiTheme="majorHAnsi" w:eastAsiaTheme="minorEastAsia" w:hAnsiTheme="majorHAnsi" w:cs="Helvetica-Bold"/>
                <w:bCs/>
                <w:sz w:val="22"/>
                <w:szCs w:val="22"/>
              </w:rPr>
            </w:pPr>
          </w:p>
          <w:p w14:paraId="72B1CF8D"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Soumettre la demande d</w:t>
            </w:r>
            <w:r w:rsidR="001776DF">
              <w:rPr>
                <w:rFonts w:asciiTheme="majorHAnsi" w:hAnsiTheme="majorHAnsi"/>
                <w:bCs/>
                <w:sz w:val="22"/>
                <w:szCs w:val="22"/>
              </w:rPr>
              <w:t>’</w:t>
            </w:r>
            <w:r>
              <w:rPr>
                <w:rFonts w:asciiTheme="majorHAnsi" w:hAnsiTheme="majorHAnsi"/>
                <w:bCs/>
                <w:sz w:val="22"/>
                <w:szCs w:val="22"/>
              </w:rPr>
              <w:t>examen et d</w:t>
            </w:r>
            <w:r w:rsidR="001776DF">
              <w:rPr>
                <w:rFonts w:asciiTheme="majorHAnsi" w:hAnsiTheme="majorHAnsi"/>
                <w:bCs/>
                <w:sz w:val="22"/>
                <w:szCs w:val="22"/>
              </w:rPr>
              <w:t>’</w:t>
            </w:r>
            <w:r>
              <w:rPr>
                <w:rFonts w:asciiTheme="majorHAnsi" w:hAnsiTheme="majorHAnsi"/>
                <w:bCs/>
                <w:sz w:val="22"/>
                <w:szCs w:val="22"/>
              </w:rPr>
              <w:t>approbation au PA, CAP, RACP ou ACP, le cas échéant</w:t>
            </w:r>
          </w:p>
          <w:p w14:paraId="2A743C4D"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p w14:paraId="483A14FD" w14:textId="306E2E2A"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En cas d</w:t>
            </w:r>
            <w:r w:rsidR="001776DF">
              <w:rPr>
                <w:rFonts w:asciiTheme="majorHAnsi" w:hAnsiTheme="majorHAnsi"/>
                <w:bCs/>
                <w:sz w:val="22"/>
                <w:szCs w:val="22"/>
              </w:rPr>
              <w:t>’</w:t>
            </w:r>
            <w:r>
              <w:rPr>
                <w:rFonts w:asciiTheme="majorHAnsi" w:hAnsiTheme="majorHAnsi"/>
                <w:bCs/>
                <w:sz w:val="22"/>
                <w:szCs w:val="22"/>
              </w:rPr>
              <w:t xml:space="preserve">approbation, </w:t>
            </w:r>
            <w:r w:rsidR="009C7822">
              <w:rPr>
                <w:rFonts w:asciiTheme="majorHAnsi" w:hAnsiTheme="majorHAnsi"/>
                <w:bCs/>
                <w:sz w:val="22"/>
                <w:szCs w:val="22"/>
              </w:rPr>
              <w:t xml:space="preserve">préparer </w:t>
            </w:r>
            <w:r>
              <w:rPr>
                <w:rFonts w:asciiTheme="majorHAnsi" w:hAnsiTheme="majorHAnsi"/>
                <w:bCs/>
                <w:sz w:val="22"/>
                <w:szCs w:val="22"/>
              </w:rPr>
              <w:t>l</w:t>
            </w:r>
            <w:r w:rsidR="001776DF">
              <w:rPr>
                <w:rFonts w:asciiTheme="majorHAnsi" w:hAnsiTheme="majorHAnsi"/>
                <w:bCs/>
                <w:sz w:val="22"/>
                <w:szCs w:val="22"/>
              </w:rPr>
              <w:t>’</w:t>
            </w:r>
            <w:r>
              <w:rPr>
                <w:rFonts w:asciiTheme="majorHAnsi" w:hAnsiTheme="majorHAnsi"/>
                <w:bCs/>
                <w:sz w:val="22"/>
                <w:szCs w:val="22"/>
              </w:rPr>
              <w:t>avenant au marché et obtenir des signatures</w:t>
            </w:r>
          </w:p>
        </w:tc>
        <w:tc>
          <w:tcPr>
            <w:tcW w:w="2603" w:type="dxa"/>
          </w:tcPr>
          <w:p w14:paraId="7743FE88" w14:textId="77777777" w:rsidR="004161DB"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Émettre la demande, fournir des justifications pour une modification</w:t>
            </w:r>
          </w:p>
          <w:p w14:paraId="06889255"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126" w:type="dxa"/>
          </w:tcPr>
          <w:p w14:paraId="40628226"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1E27B948" w14:textId="77777777" w:rsidR="0051091C"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Examiner et accepter les termes d</w:t>
            </w:r>
            <w:r w:rsidR="00CD4BD0">
              <w:rPr>
                <w:rFonts w:asciiTheme="majorHAnsi" w:hAnsiTheme="majorHAnsi"/>
                <w:bCs/>
                <w:sz w:val="22"/>
                <w:szCs w:val="22"/>
              </w:rPr>
              <w:t>es changements requis</w:t>
            </w:r>
          </w:p>
          <w:p w14:paraId="74FBD1F3" w14:textId="77777777" w:rsidR="0051091C" w:rsidRPr="00A80A0C" w:rsidRDefault="0051091C">
            <w:pPr>
              <w:autoSpaceDE w:val="0"/>
              <w:autoSpaceDN w:val="0"/>
              <w:adjustRightInd w:val="0"/>
              <w:rPr>
                <w:rFonts w:asciiTheme="majorHAnsi" w:eastAsiaTheme="minorEastAsia" w:hAnsiTheme="majorHAnsi"/>
                <w:sz w:val="22"/>
                <w:szCs w:val="22"/>
              </w:rPr>
            </w:pPr>
          </w:p>
          <w:p w14:paraId="7BB24C76"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Soumettre les coûts, le personnel, les échéanciers pour les chan</w:t>
            </w:r>
            <w:r w:rsidR="00CD4BD0">
              <w:rPr>
                <w:rFonts w:asciiTheme="majorHAnsi" w:hAnsiTheme="majorHAnsi"/>
                <w:bCs/>
                <w:sz w:val="22"/>
                <w:szCs w:val="22"/>
              </w:rPr>
              <w:t>gements requis, le cas échéant</w:t>
            </w:r>
          </w:p>
          <w:p w14:paraId="022C4E5F"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Signer la modification du marché</w:t>
            </w:r>
          </w:p>
        </w:tc>
      </w:tr>
      <w:tr w:rsidR="00C85716" w:rsidRPr="00623F2C" w14:paraId="4CB96D07" w14:textId="77777777" w:rsidTr="004161DB">
        <w:tc>
          <w:tcPr>
            <w:tcW w:w="1908" w:type="dxa"/>
          </w:tcPr>
          <w:p w14:paraId="0E92DB12"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Paiements</w:t>
            </w:r>
          </w:p>
        </w:tc>
        <w:tc>
          <w:tcPr>
            <w:tcW w:w="1572" w:type="dxa"/>
          </w:tcPr>
          <w:p w14:paraId="32EB0CD8"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Approvisionnements de l</w:t>
            </w:r>
            <w:r w:rsidR="001776DF">
              <w:rPr>
                <w:rFonts w:asciiTheme="majorHAnsi" w:hAnsiTheme="majorHAnsi"/>
                <w:bCs/>
                <w:sz w:val="22"/>
                <w:szCs w:val="22"/>
              </w:rPr>
              <w:t>’</w:t>
            </w:r>
            <w:r w:rsidR="000721FF">
              <w:rPr>
                <w:rFonts w:asciiTheme="majorHAnsi" w:hAnsiTheme="majorHAnsi"/>
                <w:bCs/>
                <w:sz w:val="22"/>
                <w:szCs w:val="22"/>
              </w:rPr>
              <w:t>unité requérante</w:t>
            </w:r>
          </w:p>
          <w:p w14:paraId="7E5882FF"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Finance</w:t>
            </w:r>
          </w:p>
        </w:tc>
        <w:tc>
          <w:tcPr>
            <w:tcW w:w="2321" w:type="dxa"/>
          </w:tcPr>
          <w:p w14:paraId="24A66A3F" w14:textId="77777777" w:rsidR="00765C5F" w:rsidRPr="00A80A0C" w:rsidRDefault="004161DB">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Émettre les pièces justificatives, comme un contrat, un bon de commande</w:t>
            </w:r>
          </w:p>
          <w:p w14:paraId="1F46C53C"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2603" w:type="dxa"/>
          </w:tcPr>
          <w:p w14:paraId="79095A2C" w14:textId="77777777" w:rsidR="00B47C51" w:rsidRPr="00275EFF" w:rsidRDefault="00B47C51">
            <w:pPr>
              <w:autoSpaceDE w:val="0"/>
              <w:autoSpaceDN w:val="0"/>
              <w:adjustRightInd w:val="0"/>
              <w:rPr>
                <w:rFonts w:asciiTheme="majorHAnsi" w:eastAsiaTheme="minorEastAsia" w:hAnsiTheme="majorHAnsi" w:cs="Helvetica-Bold"/>
                <w:bCs/>
                <w:sz w:val="22"/>
                <w:szCs w:val="22"/>
              </w:rPr>
            </w:pPr>
            <w:r w:rsidRPr="00275EFF">
              <w:rPr>
                <w:rFonts w:asciiTheme="majorHAnsi" w:hAnsiTheme="majorHAnsi"/>
                <w:bCs/>
                <w:sz w:val="22"/>
                <w:szCs w:val="22"/>
              </w:rPr>
              <w:t>Vérifier la réalisation des livrables</w:t>
            </w:r>
          </w:p>
          <w:p w14:paraId="76D53FD8" w14:textId="3CB3CE89" w:rsidR="00B47C51" w:rsidRPr="00275EFF" w:rsidRDefault="00B47C51">
            <w:pPr>
              <w:autoSpaceDE w:val="0"/>
              <w:autoSpaceDN w:val="0"/>
              <w:adjustRightInd w:val="0"/>
              <w:rPr>
                <w:rFonts w:asciiTheme="majorHAnsi" w:eastAsiaTheme="minorEastAsia" w:hAnsiTheme="majorHAnsi" w:cs="Helvetica-Bold"/>
                <w:bCs/>
                <w:sz w:val="22"/>
                <w:szCs w:val="22"/>
              </w:rPr>
            </w:pPr>
            <w:r w:rsidRPr="00275EFF">
              <w:rPr>
                <w:rFonts w:asciiTheme="majorHAnsi" w:hAnsiTheme="majorHAnsi"/>
                <w:bCs/>
                <w:sz w:val="22"/>
                <w:szCs w:val="22"/>
              </w:rPr>
              <w:t xml:space="preserve">Créer un reçu </w:t>
            </w:r>
            <w:proofErr w:type="spellStart"/>
            <w:r w:rsidR="00AF52D9">
              <w:rPr>
                <w:rFonts w:asciiTheme="majorHAnsi" w:hAnsiTheme="majorHAnsi"/>
                <w:bCs/>
                <w:sz w:val="22"/>
                <w:szCs w:val="22"/>
              </w:rPr>
              <w:t>Q</w:t>
            </w:r>
            <w:r w:rsidR="00B877AF">
              <w:rPr>
                <w:rFonts w:asciiTheme="majorHAnsi" w:hAnsiTheme="majorHAnsi"/>
                <w:bCs/>
                <w:sz w:val="22"/>
                <w:szCs w:val="22"/>
              </w:rPr>
              <w:t>unatum</w:t>
            </w:r>
            <w:proofErr w:type="spellEnd"/>
          </w:p>
          <w:p w14:paraId="6DFF3707" w14:textId="77777777" w:rsidR="00765C5F" w:rsidRPr="00275EFF" w:rsidRDefault="00B47C51">
            <w:pPr>
              <w:autoSpaceDE w:val="0"/>
              <w:autoSpaceDN w:val="0"/>
              <w:adjustRightInd w:val="0"/>
              <w:rPr>
                <w:rFonts w:asciiTheme="majorHAnsi" w:eastAsiaTheme="minorEastAsia" w:hAnsiTheme="majorHAnsi" w:cs="Helvetica-Bold"/>
                <w:bCs/>
                <w:sz w:val="22"/>
                <w:szCs w:val="22"/>
              </w:rPr>
            </w:pPr>
            <w:r w:rsidRPr="00275EFF">
              <w:rPr>
                <w:rFonts w:asciiTheme="majorHAnsi" w:hAnsiTheme="majorHAnsi"/>
                <w:bCs/>
                <w:sz w:val="22"/>
                <w:szCs w:val="22"/>
              </w:rPr>
              <w:t>Certifier la facture</w:t>
            </w:r>
          </w:p>
          <w:p w14:paraId="72EF0798" w14:textId="77777777" w:rsidR="00373215" w:rsidRPr="00A80A0C" w:rsidRDefault="00373215">
            <w:pPr>
              <w:autoSpaceDE w:val="0"/>
              <w:autoSpaceDN w:val="0"/>
              <w:adjustRightInd w:val="0"/>
              <w:rPr>
                <w:rFonts w:asciiTheme="majorHAnsi" w:eastAsiaTheme="minorEastAsia" w:hAnsiTheme="majorHAnsi" w:cs="Helvetica-Bold"/>
                <w:bCs/>
                <w:sz w:val="22"/>
                <w:szCs w:val="22"/>
              </w:rPr>
            </w:pPr>
          </w:p>
          <w:p w14:paraId="57033C64" w14:textId="77777777" w:rsidR="00765C5F" w:rsidRPr="00A80A0C" w:rsidRDefault="00483FC6">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Émettre</w:t>
            </w:r>
            <w:r w:rsidR="00765C5F">
              <w:rPr>
                <w:rFonts w:asciiTheme="majorHAnsi" w:hAnsiTheme="majorHAnsi"/>
                <w:bCs/>
                <w:sz w:val="22"/>
                <w:szCs w:val="22"/>
              </w:rPr>
              <w:t xml:space="preserve"> l</w:t>
            </w:r>
            <w:r w:rsidR="001776DF">
              <w:rPr>
                <w:rFonts w:asciiTheme="majorHAnsi" w:hAnsiTheme="majorHAnsi"/>
                <w:bCs/>
                <w:sz w:val="22"/>
                <w:szCs w:val="22"/>
              </w:rPr>
              <w:t>’</w:t>
            </w:r>
            <w:r w:rsidR="00CD4BD0">
              <w:rPr>
                <w:rFonts w:asciiTheme="majorHAnsi" w:hAnsiTheme="majorHAnsi"/>
                <w:bCs/>
                <w:sz w:val="22"/>
                <w:szCs w:val="22"/>
              </w:rPr>
              <w:t>attestation de paiement</w:t>
            </w:r>
          </w:p>
          <w:p w14:paraId="3230B101" w14:textId="77777777" w:rsidR="00373215" w:rsidRPr="00A80A0C" w:rsidRDefault="00373215">
            <w:pPr>
              <w:autoSpaceDE w:val="0"/>
              <w:autoSpaceDN w:val="0"/>
              <w:adjustRightInd w:val="0"/>
              <w:rPr>
                <w:rFonts w:asciiTheme="majorHAnsi" w:eastAsiaTheme="minorEastAsia" w:hAnsiTheme="majorHAnsi" w:cs="Helvetica-Bold"/>
                <w:bCs/>
                <w:sz w:val="22"/>
                <w:szCs w:val="22"/>
              </w:rPr>
            </w:pPr>
          </w:p>
          <w:p w14:paraId="110343B1" w14:textId="77777777" w:rsidR="0051091C"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Demander le paiement En cas de paiement final, l</w:t>
            </w:r>
            <w:r w:rsidR="001776DF">
              <w:rPr>
                <w:rFonts w:asciiTheme="majorHAnsi" w:hAnsiTheme="majorHAnsi"/>
                <w:bCs/>
                <w:sz w:val="22"/>
                <w:szCs w:val="22"/>
              </w:rPr>
              <w:t>’</w:t>
            </w:r>
            <w:r>
              <w:rPr>
                <w:rFonts w:asciiTheme="majorHAnsi" w:hAnsiTheme="majorHAnsi"/>
                <w:bCs/>
                <w:sz w:val="22"/>
                <w:szCs w:val="22"/>
              </w:rPr>
              <w:t>évaluation des résultats doit être présentée avant le paiement</w:t>
            </w:r>
          </w:p>
        </w:tc>
        <w:tc>
          <w:tcPr>
            <w:tcW w:w="1126" w:type="dxa"/>
          </w:tcPr>
          <w:p w14:paraId="454885FD"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Vérifier la demande de paiement et traiter le paiement</w:t>
            </w:r>
          </w:p>
          <w:p w14:paraId="0A490697" w14:textId="77777777" w:rsidR="00C85716" w:rsidRPr="00A80A0C" w:rsidRDefault="00C85716">
            <w:pPr>
              <w:autoSpaceDE w:val="0"/>
              <w:autoSpaceDN w:val="0"/>
              <w:adjustRightInd w:val="0"/>
              <w:rPr>
                <w:rFonts w:asciiTheme="majorHAnsi" w:eastAsiaTheme="minorEastAsia" w:hAnsiTheme="majorHAnsi" w:cs="Helvetica-Bold"/>
                <w:bCs/>
                <w:sz w:val="22"/>
                <w:szCs w:val="22"/>
              </w:rPr>
            </w:pPr>
          </w:p>
          <w:p w14:paraId="2E8E93DE" w14:textId="77777777" w:rsidR="00C85716" w:rsidRPr="00A80A0C" w:rsidRDefault="00C85716">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Classer les documents relatifs aux paiements</w:t>
            </w:r>
          </w:p>
        </w:tc>
        <w:tc>
          <w:tcPr>
            <w:tcW w:w="1918" w:type="dxa"/>
          </w:tcPr>
          <w:p w14:paraId="2ECB6A4A"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Soumettre les factures et les pièces justificatives telles que les rapports, les bons de livraison</w:t>
            </w:r>
          </w:p>
        </w:tc>
      </w:tr>
      <w:tr w:rsidR="00C85716" w:rsidRPr="00623F2C" w14:paraId="7E97E069" w14:textId="77777777" w:rsidTr="004161DB">
        <w:tc>
          <w:tcPr>
            <w:tcW w:w="1908" w:type="dxa"/>
          </w:tcPr>
          <w:p w14:paraId="00987EB6"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Certificat de prise de possession (le cas échéant)</w:t>
            </w:r>
          </w:p>
        </w:tc>
        <w:tc>
          <w:tcPr>
            <w:tcW w:w="1572" w:type="dxa"/>
          </w:tcPr>
          <w:p w14:paraId="7541C56F" w14:textId="77777777" w:rsidR="00765C5F" w:rsidRPr="00A80A0C" w:rsidRDefault="000721F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Unité requérante</w:t>
            </w:r>
          </w:p>
        </w:tc>
        <w:tc>
          <w:tcPr>
            <w:tcW w:w="2321" w:type="dxa"/>
          </w:tcPr>
          <w:p w14:paraId="774031CD" w14:textId="77777777" w:rsidR="00765C5F"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Coordonner avec l</w:t>
            </w:r>
            <w:r w:rsidR="001776DF">
              <w:rPr>
                <w:rFonts w:asciiTheme="majorHAnsi" w:hAnsiTheme="majorHAnsi"/>
                <w:bCs/>
                <w:sz w:val="22"/>
                <w:szCs w:val="22"/>
              </w:rPr>
              <w:t>’</w:t>
            </w:r>
            <w:r w:rsidR="000721FF">
              <w:rPr>
                <w:rFonts w:asciiTheme="majorHAnsi" w:hAnsiTheme="majorHAnsi"/>
                <w:bCs/>
                <w:sz w:val="22"/>
                <w:szCs w:val="22"/>
              </w:rPr>
              <w:t>unité requérante</w:t>
            </w:r>
            <w:r>
              <w:rPr>
                <w:rFonts w:asciiTheme="majorHAnsi" w:hAnsiTheme="majorHAnsi"/>
                <w:bCs/>
                <w:sz w:val="22"/>
                <w:szCs w:val="22"/>
              </w:rPr>
              <w:t xml:space="preserve"> et le fournisseur</w:t>
            </w:r>
          </w:p>
        </w:tc>
        <w:tc>
          <w:tcPr>
            <w:tcW w:w="2603" w:type="dxa"/>
          </w:tcPr>
          <w:p w14:paraId="74C3823A"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Signer le certificat de prise de possession</w:t>
            </w:r>
          </w:p>
        </w:tc>
        <w:tc>
          <w:tcPr>
            <w:tcW w:w="1126" w:type="dxa"/>
          </w:tcPr>
          <w:p w14:paraId="0B67D58C"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297813AF"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r>
      <w:tr w:rsidR="00C85716" w:rsidRPr="00623F2C" w14:paraId="1DD2E5C3" w14:textId="77777777" w:rsidTr="004161DB">
        <w:tc>
          <w:tcPr>
            <w:tcW w:w="1908" w:type="dxa"/>
          </w:tcPr>
          <w:p w14:paraId="2389130F" w14:textId="77777777" w:rsidR="00765C5F" w:rsidRPr="00A80A0C" w:rsidRDefault="00765C5F" w:rsidP="001574BE">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Période de garantie (le cas échéant)</w:t>
            </w:r>
          </w:p>
        </w:tc>
        <w:tc>
          <w:tcPr>
            <w:tcW w:w="1572" w:type="dxa"/>
          </w:tcPr>
          <w:p w14:paraId="5CACE41D" w14:textId="77777777" w:rsidR="00765C5F" w:rsidRPr="00A80A0C" w:rsidRDefault="000721F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Unité requérante</w:t>
            </w:r>
          </w:p>
        </w:tc>
        <w:tc>
          <w:tcPr>
            <w:tcW w:w="2321" w:type="dxa"/>
          </w:tcPr>
          <w:p w14:paraId="6FB8192E" w14:textId="77777777" w:rsidR="00765C5F" w:rsidRPr="00A80A0C" w:rsidRDefault="00765C5F" w:rsidP="001574BE">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 xml:space="preserve">Dépôt des documents </w:t>
            </w:r>
            <w:r w:rsidR="001574BE">
              <w:rPr>
                <w:rFonts w:asciiTheme="majorHAnsi" w:hAnsiTheme="majorHAnsi"/>
                <w:bCs/>
                <w:sz w:val="22"/>
                <w:szCs w:val="22"/>
              </w:rPr>
              <w:t xml:space="preserve">de la période de garantie </w:t>
            </w:r>
            <w:r>
              <w:rPr>
                <w:rFonts w:asciiTheme="majorHAnsi" w:hAnsiTheme="majorHAnsi"/>
                <w:bCs/>
                <w:sz w:val="22"/>
                <w:szCs w:val="22"/>
              </w:rPr>
              <w:t>correspondants</w:t>
            </w:r>
          </w:p>
        </w:tc>
        <w:tc>
          <w:tcPr>
            <w:tcW w:w="2603" w:type="dxa"/>
          </w:tcPr>
          <w:p w14:paraId="04AAE217"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 xml:space="preserve">Gérer </w:t>
            </w:r>
            <w:r w:rsidR="001574BE">
              <w:rPr>
                <w:rFonts w:asciiTheme="majorHAnsi" w:hAnsiTheme="majorHAnsi"/>
                <w:bCs/>
                <w:sz w:val="22"/>
                <w:szCs w:val="22"/>
              </w:rPr>
              <w:t>la période de garantie</w:t>
            </w:r>
            <w:r>
              <w:rPr>
                <w:rFonts w:asciiTheme="majorHAnsi" w:hAnsiTheme="majorHAnsi"/>
                <w:bCs/>
                <w:sz w:val="22"/>
                <w:szCs w:val="22"/>
              </w:rPr>
              <w:t xml:space="preserve"> et les réclamations éventuelles</w:t>
            </w:r>
          </w:p>
          <w:p w14:paraId="2AB040E2" w14:textId="77777777" w:rsidR="00B47C51" w:rsidRPr="00A80A0C" w:rsidRDefault="00B47C51">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 xml:space="preserve">Soumettre les documents </w:t>
            </w:r>
            <w:r w:rsidR="001574BE">
              <w:rPr>
                <w:rFonts w:asciiTheme="majorHAnsi" w:hAnsiTheme="majorHAnsi"/>
                <w:bCs/>
                <w:sz w:val="22"/>
                <w:szCs w:val="22"/>
              </w:rPr>
              <w:t xml:space="preserve">de la période de garantie </w:t>
            </w:r>
            <w:r>
              <w:rPr>
                <w:rFonts w:asciiTheme="majorHAnsi" w:hAnsiTheme="majorHAnsi"/>
                <w:bCs/>
                <w:sz w:val="22"/>
                <w:szCs w:val="22"/>
              </w:rPr>
              <w:t>à l</w:t>
            </w:r>
            <w:r w:rsidR="001776DF">
              <w:rPr>
                <w:rFonts w:asciiTheme="majorHAnsi" w:hAnsiTheme="majorHAnsi"/>
                <w:bCs/>
                <w:sz w:val="22"/>
                <w:szCs w:val="22"/>
              </w:rPr>
              <w:t>’</w:t>
            </w:r>
            <w:r>
              <w:rPr>
                <w:rFonts w:asciiTheme="majorHAnsi" w:hAnsiTheme="majorHAnsi"/>
                <w:bCs/>
                <w:sz w:val="22"/>
                <w:szCs w:val="22"/>
              </w:rPr>
              <w:t>approvisionnement</w:t>
            </w:r>
          </w:p>
          <w:p w14:paraId="46B5DE3D" w14:textId="77777777" w:rsidR="004161DB" w:rsidRPr="00A80A0C" w:rsidRDefault="004161DB">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Classement</w:t>
            </w:r>
          </w:p>
        </w:tc>
        <w:tc>
          <w:tcPr>
            <w:tcW w:w="1126" w:type="dxa"/>
          </w:tcPr>
          <w:p w14:paraId="4A1BB695"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2438459A"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Corriger les défauts</w:t>
            </w:r>
          </w:p>
        </w:tc>
      </w:tr>
      <w:tr w:rsidR="00C85716" w:rsidRPr="00623F2C" w14:paraId="0FEB7E95" w14:textId="77777777" w:rsidTr="004161DB">
        <w:tc>
          <w:tcPr>
            <w:tcW w:w="1908" w:type="dxa"/>
          </w:tcPr>
          <w:p w14:paraId="3EC521E3"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lastRenderedPageBreak/>
              <w:t>Certificat d</w:t>
            </w:r>
            <w:r w:rsidR="001776DF">
              <w:rPr>
                <w:rFonts w:asciiTheme="majorHAnsi" w:hAnsiTheme="majorHAnsi"/>
                <w:bCs/>
                <w:sz w:val="22"/>
                <w:szCs w:val="22"/>
              </w:rPr>
              <w:t>’</w:t>
            </w:r>
            <w:r>
              <w:rPr>
                <w:rFonts w:asciiTheme="majorHAnsi" w:hAnsiTheme="majorHAnsi"/>
                <w:bCs/>
                <w:sz w:val="22"/>
                <w:szCs w:val="22"/>
              </w:rPr>
              <w:t>achèvement final / Certification pour le paiement final</w:t>
            </w:r>
          </w:p>
        </w:tc>
        <w:tc>
          <w:tcPr>
            <w:tcW w:w="1572" w:type="dxa"/>
          </w:tcPr>
          <w:p w14:paraId="2BB1D636" w14:textId="77777777" w:rsidR="00303AFD" w:rsidRPr="00A80A0C" w:rsidRDefault="000721F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Unité requérante</w:t>
            </w:r>
          </w:p>
        </w:tc>
        <w:tc>
          <w:tcPr>
            <w:tcW w:w="2321" w:type="dxa"/>
          </w:tcPr>
          <w:p w14:paraId="607399CD"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Coordonner avec l</w:t>
            </w:r>
            <w:r w:rsidR="001776DF">
              <w:rPr>
                <w:rFonts w:asciiTheme="majorHAnsi" w:hAnsiTheme="majorHAnsi"/>
                <w:bCs/>
                <w:sz w:val="22"/>
                <w:szCs w:val="22"/>
              </w:rPr>
              <w:t>’</w:t>
            </w:r>
            <w:r w:rsidR="000721FF">
              <w:rPr>
                <w:rFonts w:asciiTheme="majorHAnsi" w:hAnsiTheme="majorHAnsi"/>
                <w:bCs/>
                <w:sz w:val="22"/>
                <w:szCs w:val="22"/>
              </w:rPr>
              <w:t>unité requérante</w:t>
            </w:r>
            <w:r>
              <w:rPr>
                <w:rFonts w:asciiTheme="majorHAnsi" w:hAnsiTheme="majorHAnsi"/>
                <w:bCs/>
                <w:sz w:val="22"/>
                <w:szCs w:val="22"/>
              </w:rPr>
              <w:t xml:space="preserve"> et le fournisseur</w:t>
            </w:r>
          </w:p>
        </w:tc>
        <w:tc>
          <w:tcPr>
            <w:tcW w:w="2603" w:type="dxa"/>
          </w:tcPr>
          <w:p w14:paraId="4DE0328D" w14:textId="77777777" w:rsidR="00C85716"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Signer le certificat d</w:t>
            </w:r>
            <w:r w:rsidR="001776DF">
              <w:rPr>
                <w:rFonts w:asciiTheme="majorHAnsi" w:hAnsiTheme="majorHAnsi"/>
                <w:bCs/>
                <w:sz w:val="22"/>
                <w:szCs w:val="22"/>
              </w:rPr>
              <w:t>’</w:t>
            </w:r>
            <w:r>
              <w:rPr>
                <w:rFonts w:asciiTheme="majorHAnsi" w:hAnsiTheme="majorHAnsi"/>
                <w:bCs/>
                <w:sz w:val="22"/>
                <w:szCs w:val="22"/>
              </w:rPr>
              <w:t>achèvement ou la certification pour le paiement final et verser au dossier</w:t>
            </w:r>
          </w:p>
        </w:tc>
        <w:tc>
          <w:tcPr>
            <w:tcW w:w="1126" w:type="dxa"/>
          </w:tcPr>
          <w:p w14:paraId="2D002656"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p>
        </w:tc>
        <w:tc>
          <w:tcPr>
            <w:tcW w:w="1918" w:type="dxa"/>
          </w:tcPr>
          <w:p w14:paraId="79CB8648"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p>
        </w:tc>
      </w:tr>
      <w:tr w:rsidR="00C85716" w:rsidRPr="00623F2C" w14:paraId="16E8F15A" w14:textId="77777777" w:rsidTr="004161DB">
        <w:tc>
          <w:tcPr>
            <w:tcW w:w="1908" w:type="dxa"/>
          </w:tcPr>
          <w:p w14:paraId="5863C882"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Certificat de remise (le cas échéant)</w:t>
            </w:r>
          </w:p>
        </w:tc>
        <w:tc>
          <w:tcPr>
            <w:tcW w:w="1572" w:type="dxa"/>
          </w:tcPr>
          <w:p w14:paraId="07100DC7"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Demandeur</w:t>
            </w:r>
          </w:p>
        </w:tc>
        <w:tc>
          <w:tcPr>
            <w:tcW w:w="2321" w:type="dxa"/>
          </w:tcPr>
          <w:p w14:paraId="0DED4A03"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Coordonner avec l</w:t>
            </w:r>
            <w:r w:rsidR="001776DF">
              <w:rPr>
                <w:rFonts w:asciiTheme="majorHAnsi" w:hAnsiTheme="majorHAnsi"/>
                <w:bCs/>
                <w:sz w:val="22"/>
                <w:szCs w:val="22"/>
              </w:rPr>
              <w:t>’</w:t>
            </w:r>
            <w:r w:rsidR="000721FF">
              <w:rPr>
                <w:rFonts w:asciiTheme="majorHAnsi" w:hAnsiTheme="majorHAnsi"/>
                <w:bCs/>
                <w:sz w:val="22"/>
                <w:szCs w:val="22"/>
              </w:rPr>
              <w:t>unité requérante</w:t>
            </w:r>
            <w:r>
              <w:rPr>
                <w:rFonts w:asciiTheme="majorHAnsi" w:hAnsiTheme="majorHAnsi"/>
                <w:bCs/>
                <w:sz w:val="22"/>
                <w:szCs w:val="22"/>
              </w:rPr>
              <w:t xml:space="preserve"> et le fournisseur</w:t>
            </w:r>
          </w:p>
        </w:tc>
        <w:tc>
          <w:tcPr>
            <w:tcW w:w="2603" w:type="dxa"/>
          </w:tcPr>
          <w:p w14:paraId="633D09D6"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Préparer le certificat à signer par le PNUD, le client ou l</w:t>
            </w:r>
            <w:r w:rsidR="001776DF">
              <w:rPr>
                <w:rFonts w:asciiTheme="majorHAnsi" w:hAnsiTheme="majorHAnsi"/>
                <w:bCs/>
                <w:sz w:val="22"/>
                <w:szCs w:val="22"/>
              </w:rPr>
              <w:t>’</w:t>
            </w:r>
            <w:r>
              <w:rPr>
                <w:rFonts w:asciiTheme="majorHAnsi" w:hAnsiTheme="majorHAnsi"/>
                <w:bCs/>
                <w:sz w:val="22"/>
                <w:szCs w:val="22"/>
              </w:rPr>
              <w:t>utilisateur final</w:t>
            </w:r>
          </w:p>
          <w:p w14:paraId="37AF5226" w14:textId="77777777" w:rsidR="00663C48" w:rsidRPr="00A80A0C" w:rsidRDefault="00EC287A">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Classement</w:t>
            </w:r>
          </w:p>
        </w:tc>
        <w:tc>
          <w:tcPr>
            <w:tcW w:w="1126" w:type="dxa"/>
          </w:tcPr>
          <w:p w14:paraId="5BEF5BDD"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p>
        </w:tc>
        <w:tc>
          <w:tcPr>
            <w:tcW w:w="1918" w:type="dxa"/>
          </w:tcPr>
          <w:p w14:paraId="08A401E2"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 xml:space="preserve">Signer certificat de transfert </w:t>
            </w:r>
          </w:p>
        </w:tc>
      </w:tr>
      <w:tr w:rsidR="00C85716" w:rsidRPr="00623F2C" w14:paraId="1DFB577E" w14:textId="77777777" w:rsidTr="004161DB">
        <w:tc>
          <w:tcPr>
            <w:tcW w:w="1908" w:type="dxa"/>
          </w:tcPr>
          <w:p w14:paraId="017FD0A8" w14:textId="77777777" w:rsidR="00765C5F" w:rsidRPr="00A80A0C" w:rsidRDefault="00DD5407">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Évaluation des résultats</w:t>
            </w:r>
          </w:p>
        </w:tc>
        <w:tc>
          <w:tcPr>
            <w:tcW w:w="1572" w:type="dxa"/>
          </w:tcPr>
          <w:p w14:paraId="1F747109"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Demandeur</w:t>
            </w:r>
          </w:p>
        </w:tc>
        <w:tc>
          <w:tcPr>
            <w:tcW w:w="2321" w:type="dxa"/>
          </w:tcPr>
          <w:p w14:paraId="51211BFE"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L</w:t>
            </w:r>
            <w:r w:rsidR="001776DF">
              <w:rPr>
                <w:rFonts w:asciiTheme="majorHAnsi" w:hAnsiTheme="majorHAnsi"/>
                <w:bCs/>
                <w:sz w:val="22"/>
                <w:szCs w:val="22"/>
              </w:rPr>
              <w:t>’</w:t>
            </w:r>
            <w:r>
              <w:rPr>
                <w:rFonts w:asciiTheme="majorHAnsi" w:hAnsiTheme="majorHAnsi"/>
                <w:bCs/>
                <w:sz w:val="22"/>
                <w:szCs w:val="22"/>
              </w:rPr>
              <w:t>approvisionnement doit tenir un registre de toutes les évaluations de résultats</w:t>
            </w:r>
            <w:r w:rsidRPr="00A80A0C">
              <w:rPr>
                <w:rStyle w:val="FootnoteReference"/>
                <w:rFonts w:asciiTheme="majorHAnsi" w:eastAsiaTheme="minorEastAsia" w:hAnsiTheme="majorHAnsi" w:cs="Helvetica-Bold"/>
                <w:bCs/>
                <w:sz w:val="22"/>
                <w:szCs w:val="22"/>
              </w:rPr>
              <w:footnoteReference w:id="6"/>
            </w:r>
          </w:p>
          <w:p w14:paraId="7E3BCDAD" w14:textId="77777777" w:rsidR="0051091C" w:rsidRPr="00A80A0C" w:rsidRDefault="0051091C">
            <w:pPr>
              <w:autoSpaceDE w:val="0"/>
              <w:autoSpaceDN w:val="0"/>
              <w:adjustRightInd w:val="0"/>
              <w:rPr>
                <w:rFonts w:asciiTheme="majorHAnsi" w:hAnsiTheme="majorHAnsi"/>
                <w:sz w:val="22"/>
                <w:szCs w:val="22"/>
              </w:rPr>
            </w:pPr>
          </w:p>
          <w:p w14:paraId="574E6BAB" w14:textId="77777777" w:rsidR="00B22D55" w:rsidRPr="00A80A0C" w:rsidRDefault="00B22D55">
            <w:pPr>
              <w:autoSpaceDE w:val="0"/>
              <w:autoSpaceDN w:val="0"/>
              <w:adjustRightInd w:val="0"/>
              <w:rPr>
                <w:rFonts w:asciiTheme="majorHAnsi" w:hAnsiTheme="majorHAnsi" w:cs="Arial"/>
                <w:sz w:val="22"/>
                <w:szCs w:val="22"/>
              </w:rPr>
            </w:pPr>
            <w:r>
              <w:rPr>
                <w:rFonts w:asciiTheme="majorHAnsi" w:hAnsiTheme="majorHAnsi"/>
                <w:sz w:val="22"/>
                <w:szCs w:val="22"/>
              </w:rPr>
              <w:t>Déposer une copie de tout formulaire ou rapport d</w:t>
            </w:r>
            <w:r w:rsidR="001776DF">
              <w:rPr>
                <w:rFonts w:asciiTheme="majorHAnsi" w:hAnsiTheme="majorHAnsi"/>
                <w:sz w:val="22"/>
                <w:szCs w:val="22"/>
              </w:rPr>
              <w:t>’</w:t>
            </w:r>
            <w:r>
              <w:rPr>
                <w:rFonts w:asciiTheme="majorHAnsi" w:hAnsiTheme="majorHAnsi"/>
                <w:sz w:val="22"/>
                <w:szCs w:val="22"/>
              </w:rPr>
              <w:t>évaluation des résultats dans le dossier d</w:t>
            </w:r>
            <w:r w:rsidR="001776DF">
              <w:rPr>
                <w:rFonts w:asciiTheme="majorHAnsi" w:hAnsiTheme="majorHAnsi"/>
                <w:sz w:val="22"/>
                <w:szCs w:val="22"/>
              </w:rPr>
              <w:t>’</w:t>
            </w:r>
            <w:r w:rsidR="00B94826">
              <w:rPr>
                <w:rFonts w:asciiTheme="majorHAnsi" w:hAnsiTheme="majorHAnsi"/>
                <w:sz w:val="22"/>
                <w:szCs w:val="22"/>
              </w:rPr>
              <w:t>achat</w:t>
            </w:r>
          </w:p>
          <w:p w14:paraId="768568D8" w14:textId="77777777" w:rsidR="00B22D55" w:rsidRPr="00A80A0C" w:rsidRDefault="00B22D55">
            <w:pPr>
              <w:autoSpaceDE w:val="0"/>
              <w:autoSpaceDN w:val="0"/>
              <w:adjustRightInd w:val="0"/>
              <w:rPr>
                <w:rFonts w:asciiTheme="majorHAnsi" w:eastAsiaTheme="minorEastAsia" w:hAnsiTheme="majorHAnsi" w:cs="Helvetica-Bold"/>
                <w:bCs/>
                <w:sz w:val="22"/>
                <w:szCs w:val="22"/>
              </w:rPr>
            </w:pPr>
          </w:p>
        </w:tc>
        <w:tc>
          <w:tcPr>
            <w:tcW w:w="2603" w:type="dxa"/>
          </w:tcPr>
          <w:p w14:paraId="77140B9E" w14:textId="77777777" w:rsidR="0051091C"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Évaluer les résultats du fournisseur</w:t>
            </w:r>
          </w:p>
          <w:p w14:paraId="570EB4FE" w14:textId="77777777" w:rsidR="00DD5407" w:rsidRPr="00A80A0C" w:rsidRDefault="00DD5407">
            <w:pPr>
              <w:autoSpaceDE w:val="0"/>
              <w:autoSpaceDN w:val="0"/>
              <w:adjustRightInd w:val="0"/>
              <w:rPr>
                <w:rFonts w:asciiTheme="majorHAnsi" w:eastAsiaTheme="minorEastAsia" w:hAnsiTheme="majorHAnsi" w:cs="Helvetica-Bold"/>
                <w:bCs/>
                <w:sz w:val="22"/>
                <w:szCs w:val="22"/>
              </w:rPr>
            </w:pPr>
          </w:p>
          <w:p w14:paraId="6A425335" w14:textId="77777777" w:rsidR="00B22D55" w:rsidRPr="00A80A0C" w:rsidRDefault="00765C5F">
            <w:pPr>
              <w:autoSpaceDE w:val="0"/>
              <w:autoSpaceDN w:val="0"/>
              <w:adjustRightInd w:val="0"/>
              <w:rPr>
                <w:rFonts w:asciiTheme="majorHAnsi" w:hAnsiTheme="majorHAnsi" w:cs="Arial"/>
                <w:sz w:val="22"/>
                <w:szCs w:val="22"/>
              </w:rPr>
            </w:pPr>
            <w:r>
              <w:rPr>
                <w:rFonts w:asciiTheme="majorHAnsi" w:hAnsiTheme="majorHAnsi"/>
                <w:sz w:val="22"/>
                <w:szCs w:val="22"/>
              </w:rPr>
              <w:t>Informer l</w:t>
            </w:r>
            <w:r w:rsidR="001776DF">
              <w:rPr>
                <w:rFonts w:asciiTheme="majorHAnsi" w:hAnsiTheme="majorHAnsi"/>
                <w:sz w:val="22"/>
                <w:szCs w:val="22"/>
              </w:rPr>
              <w:t>’</w:t>
            </w:r>
            <w:r>
              <w:rPr>
                <w:rFonts w:asciiTheme="majorHAnsi" w:hAnsiTheme="majorHAnsi"/>
                <w:sz w:val="22"/>
                <w:szCs w:val="22"/>
              </w:rPr>
              <w:t xml:space="preserve">unité chargée des achats de la qualité des résultats du fournisseur </w:t>
            </w:r>
          </w:p>
          <w:p w14:paraId="0D7EF76B" w14:textId="77777777" w:rsidR="0051091C" w:rsidRPr="00A80A0C" w:rsidRDefault="0051091C">
            <w:pPr>
              <w:autoSpaceDE w:val="0"/>
              <w:autoSpaceDN w:val="0"/>
              <w:adjustRightInd w:val="0"/>
              <w:rPr>
                <w:rFonts w:asciiTheme="majorHAnsi" w:hAnsiTheme="majorHAnsi" w:cs="Arial"/>
                <w:sz w:val="22"/>
                <w:szCs w:val="22"/>
              </w:rPr>
            </w:pPr>
          </w:p>
          <w:p w14:paraId="5AE66B35" w14:textId="77777777" w:rsidR="00765C5F" w:rsidRPr="00A80A0C" w:rsidRDefault="00B22D55">
            <w:pPr>
              <w:autoSpaceDE w:val="0"/>
              <w:autoSpaceDN w:val="0"/>
              <w:adjustRightInd w:val="0"/>
              <w:rPr>
                <w:rFonts w:asciiTheme="majorHAnsi" w:eastAsiaTheme="minorEastAsia" w:hAnsiTheme="majorHAnsi" w:cs="Helvetica-Bold"/>
                <w:bCs/>
                <w:sz w:val="22"/>
                <w:szCs w:val="22"/>
              </w:rPr>
            </w:pPr>
            <w:r>
              <w:rPr>
                <w:rFonts w:asciiTheme="majorHAnsi" w:hAnsiTheme="majorHAnsi"/>
                <w:sz w:val="22"/>
                <w:szCs w:val="22"/>
              </w:rPr>
              <w:t>Soumettre une copie de l</w:t>
            </w:r>
            <w:r w:rsidR="001776DF">
              <w:rPr>
                <w:rFonts w:asciiTheme="majorHAnsi" w:hAnsiTheme="majorHAnsi"/>
                <w:sz w:val="22"/>
                <w:szCs w:val="22"/>
              </w:rPr>
              <w:t>’</w:t>
            </w:r>
            <w:r>
              <w:rPr>
                <w:rFonts w:asciiTheme="majorHAnsi" w:hAnsiTheme="majorHAnsi"/>
                <w:sz w:val="22"/>
                <w:szCs w:val="22"/>
              </w:rPr>
              <w:t>évaluation des résultats à l</w:t>
            </w:r>
            <w:r w:rsidR="001776DF">
              <w:rPr>
                <w:rFonts w:asciiTheme="majorHAnsi" w:hAnsiTheme="majorHAnsi"/>
                <w:sz w:val="22"/>
                <w:szCs w:val="22"/>
              </w:rPr>
              <w:t>’</w:t>
            </w:r>
            <w:r>
              <w:rPr>
                <w:rFonts w:asciiTheme="majorHAnsi" w:hAnsiTheme="majorHAnsi"/>
                <w:sz w:val="22"/>
                <w:szCs w:val="22"/>
              </w:rPr>
              <w:t>unité chargée des achats</w:t>
            </w:r>
          </w:p>
        </w:tc>
        <w:tc>
          <w:tcPr>
            <w:tcW w:w="1126" w:type="dxa"/>
          </w:tcPr>
          <w:p w14:paraId="54ABB7F4"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5ABCF477"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r>
      <w:tr w:rsidR="00C85716" w:rsidRPr="00623F2C" w14:paraId="6510EBDE" w14:textId="77777777" w:rsidTr="004161DB">
        <w:tc>
          <w:tcPr>
            <w:tcW w:w="1908" w:type="dxa"/>
          </w:tcPr>
          <w:p w14:paraId="4E584395"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Clôture du marché</w:t>
            </w:r>
          </w:p>
          <w:p w14:paraId="2B25778F"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572" w:type="dxa"/>
          </w:tcPr>
          <w:p w14:paraId="576866EA"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Approvisionnement</w:t>
            </w:r>
          </w:p>
          <w:p w14:paraId="5B41012A"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2321" w:type="dxa"/>
          </w:tcPr>
          <w:p w14:paraId="67D68026"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 xml:space="preserve">Clôturer le </w:t>
            </w:r>
            <w:r w:rsidR="001574BE">
              <w:rPr>
                <w:rFonts w:asciiTheme="majorHAnsi" w:hAnsiTheme="majorHAnsi"/>
                <w:bCs/>
                <w:sz w:val="22"/>
                <w:szCs w:val="22"/>
              </w:rPr>
              <w:t>bon de commande</w:t>
            </w:r>
          </w:p>
          <w:p w14:paraId="2AFF0E1E"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Renvoyer la garantie de bonne exécution co</w:t>
            </w:r>
            <w:r w:rsidR="00B94826">
              <w:rPr>
                <w:rFonts w:asciiTheme="majorHAnsi" w:hAnsiTheme="majorHAnsi"/>
                <w:bCs/>
                <w:sz w:val="22"/>
                <w:szCs w:val="22"/>
              </w:rPr>
              <w:t>nformément aux termes du marché</w:t>
            </w:r>
          </w:p>
          <w:p w14:paraId="15CD6659" w14:textId="77777777" w:rsidR="0051091C" w:rsidRPr="00A80A0C" w:rsidRDefault="0051091C">
            <w:pPr>
              <w:autoSpaceDE w:val="0"/>
              <w:autoSpaceDN w:val="0"/>
              <w:adjustRightInd w:val="0"/>
              <w:rPr>
                <w:rFonts w:asciiTheme="majorHAnsi" w:eastAsiaTheme="minorEastAsia" w:hAnsiTheme="majorHAnsi" w:cs="Helvetica-Bold"/>
                <w:bCs/>
                <w:sz w:val="22"/>
                <w:szCs w:val="22"/>
              </w:rPr>
            </w:pPr>
          </w:p>
          <w:p w14:paraId="03DC28D2"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2603" w:type="dxa"/>
          </w:tcPr>
          <w:p w14:paraId="3016B484" w14:textId="77777777" w:rsidR="00765C5F"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Informer l</w:t>
            </w:r>
            <w:r w:rsidR="001776DF">
              <w:rPr>
                <w:rFonts w:asciiTheme="majorHAnsi" w:hAnsiTheme="majorHAnsi"/>
                <w:bCs/>
                <w:sz w:val="22"/>
                <w:szCs w:val="22"/>
              </w:rPr>
              <w:t>’</w:t>
            </w:r>
            <w:r>
              <w:rPr>
                <w:rFonts w:asciiTheme="majorHAnsi" w:hAnsiTheme="majorHAnsi"/>
                <w:bCs/>
                <w:sz w:val="22"/>
                <w:szCs w:val="22"/>
              </w:rPr>
              <w:t>unité chargée des achats de l</w:t>
            </w:r>
            <w:r w:rsidR="001776DF">
              <w:rPr>
                <w:rFonts w:asciiTheme="majorHAnsi" w:hAnsiTheme="majorHAnsi"/>
                <w:bCs/>
                <w:sz w:val="22"/>
                <w:szCs w:val="22"/>
              </w:rPr>
              <w:t>’</w:t>
            </w:r>
            <w:r>
              <w:rPr>
                <w:rFonts w:asciiTheme="majorHAnsi" w:hAnsiTheme="majorHAnsi"/>
                <w:bCs/>
                <w:sz w:val="22"/>
                <w:szCs w:val="22"/>
              </w:rPr>
              <w:t>achèvement du marché</w:t>
            </w:r>
          </w:p>
        </w:tc>
        <w:tc>
          <w:tcPr>
            <w:tcW w:w="1126" w:type="dxa"/>
          </w:tcPr>
          <w:p w14:paraId="7217F694"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1C5B88AC" w14:textId="77777777" w:rsidR="00B47C51" w:rsidRPr="00A80A0C" w:rsidRDefault="00B47C51">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Retourner tout équipement ou matériel non utilisé au PNUD</w:t>
            </w:r>
          </w:p>
          <w:p w14:paraId="7E970087"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Soumettre les f</w:t>
            </w:r>
            <w:r w:rsidR="00B94826">
              <w:rPr>
                <w:rFonts w:asciiTheme="majorHAnsi" w:hAnsiTheme="majorHAnsi"/>
                <w:bCs/>
                <w:sz w:val="22"/>
                <w:szCs w:val="22"/>
              </w:rPr>
              <w:t>actures finales, le cas échéant</w:t>
            </w:r>
          </w:p>
          <w:p w14:paraId="01FC3747" w14:textId="74AE3148" w:rsidR="00303AFD"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 xml:space="preserve">Recueillir </w:t>
            </w:r>
            <w:r w:rsidR="0063516D">
              <w:rPr>
                <w:rFonts w:asciiTheme="majorHAnsi" w:hAnsiTheme="majorHAnsi"/>
                <w:bCs/>
                <w:sz w:val="22"/>
                <w:szCs w:val="22"/>
              </w:rPr>
              <w:t xml:space="preserve">la </w:t>
            </w:r>
            <w:r>
              <w:rPr>
                <w:rFonts w:asciiTheme="majorHAnsi" w:hAnsiTheme="majorHAnsi"/>
                <w:bCs/>
                <w:sz w:val="22"/>
                <w:szCs w:val="22"/>
              </w:rPr>
              <w:t>caution de bonne exécution ou la garantie, le cas échéant</w:t>
            </w:r>
          </w:p>
          <w:p w14:paraId="43E15890" w14:textId="77777777" w:rsidR="00303AFD"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Soumettre les notes de transfert, le cas échéant</w:t>
            </w:r>
          </w:p>
          <w:p w14:paraId="370F67E1"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r>
      <w:tr w:rsidR="00C85716" w:rsidRPr="00623F2C" w14:paraId="2A7A7039" w14:textId="77777777" w:rsidTr="004161DB">
        <w:tc>
          <w:tcPr>
            <w:tcW w:w="1908" w:type="dxa"/>
          </w:tcPr>
          <w:p w14:paraId="55358847" w14:textId="0861B9CF" w:rsidR="00765C5F" w:rsidRPr="00A80A0C" w:rsidRDefault="00275EF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 xml:space="preserve">Destruction, cession </w:t>
            </w:r>
            <w:r w:rsidR="00765C5F">
              <w:rPr>
                <w:rFonts w:asciiTheme="majorHAnsi" w:hAnsiTheme="majorHAnsi"/>
                <w:bCs/>
                <w:sz w:val="22"/>
                <w:szCs w:val="22"/>
              </w:rPr>
              <w:t xml:space="preserve">ou réutilisation de </w:t>
            </w:r>
            <w:r w:rsidR="00765C5F">
              <w:rPr>
                <w:rFonts w:asciiTheme="majorHAnsi" w:hAnsiTheme="majorHAnsi"/>
                <w:bCs/>
                <w:sz w:val="22"/>
                <w:szCs w:val="22"/>
              </w:rPr>
              <w:lastRenderedPageBreak/>
              <w:t>matériel ou équipement</w:t>
            </w:r>
          </w:p>
        </w:tc>
        <w:tc>
          <w:tcPr>
            <w:tcW w:w="1572" w:type="dxa"/>
          </w:tcPr>
          <w:p w14:paraId="01B9E377"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lastRenderedPageBreak/>
              <w:t>Demandeur</w:t>
            </w:r>
          </w:p>
          <w:p w14:paraId="5357ED46"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Approvisionnement</w:t>
            </w:r>
          </w:p>
        </w:tc>
        <w:tc>
          <w:tcPr>
            <w:tcW w:w="2321" w:type="dxa"/>
          </w:tcPr>
          <w:p w14:paraId="6F36743D" w14:textId="77777777" w:rsidR="0051091C"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 xml:space="preserve">Préparer document </w:t>
            </w:r>
          </w:p>
          <w:p w14:paraId="171648E4" w14:textId="3EEB40B6" w:rsidR="00765C5F" w:rsidRPr="00A80A0C" w:rsidRDefault="00303AFD">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 xml:space="preserve">Fournir des lignes directrices sur </w:t>
            </w:r>
            <w:r w:rsidR="00275EFF">
              <w:rPr>
                <w:rFonts w:asciiTheme="majorHAnsi" w:hAnsiTheme="majorHAnsi"/>
                <w:bCs/>
                <w:sz w:val="22"/>
                <w:szCs w:val="22"/>
              </w:rPr>
              <w:t>le processus et obtenir</w:t>
            </w:r>
            <w:r>
              <w:rPr>
                <w:rFonts w:asciiTheme="majorHAnsi" w:hAnsiTheme="majorHAnsi"/>
                <w:bCs/>
                <w:sz w:val="22"/>
                <w:szCs w:val="22"/>
              </w:rPr>
              <w:t xml:space="preserve"> </w:t>
            </w:r>
            <w:r>
              <w:rPr>
                <w:rFonts w:asciiTheme="majorHAnsi" w:hAnsiTheme="majorHAnsi"/>
                <w:bCs/>
                <w:sz w:val="22"/>
                <w:szCs w:val="22"/>
              </w:rPr>
              <w:lastRenderedPageBreak/>
              <w:t xml:space="preserve">les </w:t>
            </w:r>
            <w:r w:rsidR="00CD4BD0">
              <w:rPr>
                <w:rFonts w:asciiTheme="majorHAnsi" w:hAnsiTheme="majorHAnsi"/>
                <w:bCs/>
                <w:sz w:val="22"/>
                <w:szCs w:val="22"/>
              </w:rPr>
              <w:t>approbations, le cas échéant</w:t>
            </w:r>
          </w:p>
          <w:p w14:paraId="4CF708B3" w14:textId="422EAD5B" w:rsidR="00B47C51" w:rsidRPr="00A80A0C" w:rsidRDefault="00B47C51">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 xml:space="preserve">Diriger le </w:t>
            </w:r>
            <w:r w:rsidR="00275EFF">
              <w:rPr>
                <w:rFonts w:asciiTheme="majorHAnsi" w:hAnsiTheme="majorHAnsi"/>
                <w:bCs/>
                <w:sz w:val="22"/>
                <w:szCs w:val="22"/>
              </w:rPr>
              <w:t>processus si</w:t>
            </w:r>
            <w:r>
              <w:rPr>
                <w:rFonts w:asciiTheme="majorHAnsi" w:hAnsiTheme="majorHAnsi"/>
                <w:bCs/>
                <w:sz w:val="22"/>
                <w:szCs w:val="22"/>
              </w:rPr>
              <w:t xml:space="preserve"> nécessaire</w:t>
            </w:r>
          </w:p>
          <w:p w14:paraId="3C15ABDF" w14:textId="77777777" w:rsidR="00C85716" w:rsidRPr="00A80A0C" w:rsidRDefault="00C85716">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t>Classement</w:t>
            </w:r>
          </w:p>
        </w:tc>
        <w:tc>
          <w:tcPr>
            <w:tcW w:w="2603" w:type="dxa"/>
          </w:tcPr>
          <w:p w14:paraId="266F529E"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r>
              <w:rPr>
                <w:rFonts w:asciiTheme="majorHAnsi" w:hAnsiTheme="majorHAnsi"/>
                <w:bCs/>
                <w:sz w:val="22"/>
                <w:szCs w:val="22"/>
              </w:rPr>
              <w:lastRenderedPageBreak/>
              <w:t>Initier le processus d</w:t>
            </w:r>
            <w:r w:rsidR="001776DF">
              <w:rPr>
                <w:rFonts w:asciiTheme="majorHAnsi" w:hAnsiTheme="majorHAnsi"/>
                <w:bCs/>
                <w:sz w:val="22"/>
                <w:szCs w:val="22"/>
              </w:rPr>
              <w:t>’</w:t>
            </w:r>
            <w:r>
              <w:rPr>
                <w:rFonts w:asciiTheme="majorHAnsi" w:hAnsiTheme="majorHAnsi"/>
                <w:bCs/>
                <w:sz w:val="22"/>
                <w:szCs w:val="22"/>
              </w:rPr>
              <w:t>élimination.</w:t>
            </w:r>
          </w:p>
        </w:tc>
        <w:tc>
          <w:tcPr>
            <w:tcW w:w="1126" w:type="dxa"/>
          </w:tcPr>
          <w:p w14:paraId="17C1519D"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c>
          <w:tcPr>
            <w:tcW w:w="1918" w:type="dxa"/>
          </w:tcPr>
          <w:p w14:paraId="6E64C22F" w14:textId="77777777" w:rsidR="00765C5F" w:rsidRPr="00A80A0C" w:rsidRDefault="00765C5F">
            <w:pPr>
              <w:autoSpaceDE w:val="0"/>
              <w:autoSpaceDN w:val="0"/>
              <w:adjustRightInd w:val="0"/>
              <w:rPr>
                <w:rFonts w:asciiTheme="majorHAnsi" w:eastAsiaTheme="minorEastAsia" w:hAnsiTheme="majorHAnsi" w:cs="Helvetica-Bold"/>
                <w:bCs/>
                <w:sz w:val="22"/>
                <w:szCs w:val="22"/>
              </w:rPr>
            </w:pPr>
          </w:p>
        </w:tc>
      </w:tr>
    </w:tbl>
    <w:p w14:paraId="36300AF5" w14:textId="77777777" w:rsidR="00006F99" w:rsidRDefault="00006F99">
      <w:pPr>
        <w:autoSpaceDE w:val="0"/>
        <w:autoSpaceDN w:val="0"/>
        <w:adjustRightInd w:val="0"/>
        <w:jc w:val="both"/>
        <w:rPr>
          <w:rFonts w:asciiTheme="majorHAnsi" w:hAnsiTheme="majorHAnsi" w:cs="ITCGaramondStd-Bk"/>
          <w:b/>
          <w:sz w:val="22"/>
          <w:szCs w:val="22"/>
        </w:rPr>
      </w:pPr>
    </w:p>
    <w:p w14:paraId="409993FC" w14:textId="54849A76" w:rsidR="00615E29" w:rsidRDefault="00615E29" w:rsidP="00402C06">
      <w:pPr>
        <w:rPr>
          <w:rFonts w:asciiTheme="majorHAnsi" w:hAnsiTheme="majorHAnsi" w:cs="ITCGaramondStd-Bk"/>
          <w:b/>
          <w:sz w:val="22"/>
          <w:szCs w:val="22"/>
          <w:u w:val="single"/>
        </w:rPr>
      </w:pPr>
    </w:p>
    <w:p w14:paraId="07FE591D" w14:textId="77777777" w:rsidR="000D3616" w:rsidRPr="000D3616" w:rsidRDefault="000D3616" w:rsidP="000D3616">
      <w:pPr>
        <w:shd w:val="clear" w:color="auto" w:fill="FFFFFF"/>
        <w:jc w:val="center"/>
        <w:textAlignment w:val="baseline"/>
        <w:rPr>
          <w:rFonts w:ascii="Calibri" w:hAnsi="Calibri" w:cs="Calibri"/>
          <w:color w:val="000000"/>
          <w:lang w:val="en-US"/>
        </w:rPr>
      </w:pPr>
      <w:r w:rsidRPr="000D3616">
        <w:rPr>
          <w:rFonts w:ascii="Calibri" w:hAnsi="Calibri" w:cs="Calibri"/>
          <w:i/>
          <w:iCs/>
          <w:color w:val="000000"/>
          <w:sz w:val="22"/>
          <w:szCs w:val="22"/>
          <w:bdr w:val="none" w:sz="0" w:space="0" w:color="auto" w:frame="1"/>
          <w:lang w:val="en-US"/>
        </w:rPr>
        <w:t>Disclaimer: This document was translated from English into French. In the event of any discrepancy between this translation and the original English document, the original English document shall prevail.</w:t>
      </w:r>
    </w:p>
    <w:p w14:paraId="43AD6189" w14:textId="77777777" w:rsidR="000D3616" w:rsidRPr="000D3616" w:rsidRDefault="000D3616" w:rsidP="000D3616">
      <w:pPr>
        <w:shd w:val="clear" w:color="auto" w:fill="FFFFFF"/>
        <w:jc w:val="center"/>
        <w:textAlignment w:val="baseline"/>
        <w:rPr>
          <w:rFonts w:ascii="Calibri" w:hAnsi="Calibri" w:cs="Calibri"/>
          <w:color w:val="000000"/>
          <w:lang w:val="en-US"/>
        </w:rPr>
      </w:pPr>
    </w:p>
    <w:p w14:paraId="6D83A0DB" w14:textId="77777777" w:rsidR="000D3616" w:rsidRPr="009515F8" w:rsidRDefault="000D3616" w:rsidP="000D3616">
      <w:pPr>
        <w:shd w:val="clear" w:color="auto" w:fill="FFFFFF"/>
        <w:jc w:val="center"/>
        <w:textAlignment w:val="baseline"/>
        <w:rPr>
          <w:rFonts w:ascii="Calibri" w:hAnsi="Calibri" w:cs="Calibri"/>
          <w:color w:val="000000"/>
        </w:rPr>
      </w:pPr>
      <w:r w:rsidRPr="000D3616">
        <w:rPr>
          <w:rFonts w:ascii="Calibri" w:hAnsi="Calibri" w:cs="Calibri"/>
          <w:i/>
          <w:iCs/>
          <w:color w:val="000000"/>
          <w:sz w:val="22"/>
          <w:szCs w:val="22"/>
          <w:bdr w:val="none" w:sz="0" w:space="0" w:color="auto" w:frame="1"/>
          <w:lang w:val="en-US"/>
        </w:rPr>
        <w:t> </w:t>
      </w:r>
      <w:r w:rsidRPr="009515F8">
        <w:rPr>
          <w:rFonts w:ascii="Calibri" w:hAnsi="Calibri" w:cs="Calibri"/>
          <w:i/>
          <w:iCs/>
          <w:color w:val="000000"/>
          <w:sz w:val="22"/>
          <w:szCs w:val="22"/>
          <w:bdr w:val="none" w:sz="0" w:space="0" w:color="auto" w:frame="1"/>
        </w:rPr>
        <w:t>Avertissement: Ce document a été traduit de l'anglais vers le français. En cas de divergence entre cette traduction et le document anglais original, le document anglais original prévaudra.</w:t>
      </w:r>
    </w:p>
    <w:p w14:paraId="7E2692E8" w14:textId="77777777" w:rsidR="000D3616" w:rsidRPr="009515F8" w:rsidRDefault="000D3616" w:rsidP="00402C06">
      <w:pPr>
        <w:rPr>
          <w:rFonts w:asciiTheme="majorHAnsi" w:hAnsiTheme="majorHAnsi" w:cs="ITCGaramondStd-Bk"/>
          <w:sz w:val="22"/>
          <w:szCs w:val="22"/>
        </w:rPr>
      </w:pPr>
    </w:p>
    <w:p w14:paraId="5ECF055C" w14:textId="77777777" w:rsidR="00615E29" w:rsidRPr="00402C06" w:rsidRDefault="00615E29" w:rsidP="00402C06">
      <w:pPr>
        <w:rPr>
          <w:rFonts w:asciiTheme="majorHAnsi" w:hAnsiTheme="majorHAnsi" w:cs="ITCGaramondStd-Bk"/>
          <w:sz w:val="22"/>
          <w:szCs w:val="22"/>
        </w:rPr>
      </w:pPr>
    </w:p>
    <w:p w14:paraId="54E11FD7" w14:textId="3E9207F9" w:rsidR="009C52E1" w:rsidRPr="00A80A0C" w:rsidRDefault="009C52E1">
      <w:pPr>
        <w:autoSpaceDE w:val="0"/>
        <w:autoSpaceDN w:val="0"/>
        <w:adjustRightInd w:val="0"/>
        <w:jc w:val="both"/>
        <w:rPr>
          <w:rFonts w:asciiTheme="majorHAnsi" w:hAnsiTheme="majorHAnsi" w:cs="ITCGaramondStd-Bk"/>
          <w:b/>
          <w:sz w:val="22"/>
          <w:szCs w:val="22"/>
        </w:rPr>
      </w:pPr>
    </w:p>
    <w:sectPr w:rsidR="009C52E1" w:rsidRPr="00A80A0C" w:rsidSect="00AB3925">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611F" w14:textId="77777777" w:rsidR="00BD34FD" w:rsidRDefault="00BD34FD" w:rsidP="006A295A">
      <w:r>
        <w:separator/>
      </w:r>
    </w:p>
  </w:endnote>
  <w:endnote w:type="continuationSeparator" w:id="0">
    <w:p w14:paraId="77A3C92D" w14:textId="77777777" w:rsidR="00BD34FD" w:rsidRDefault="00BD34FD" w:rsidP="006A2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TCGaramondStd-Bk">
    <w:altName w:val="Calibri"/>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MT">
    <w:altName w:val="Arial Unicode MS"/>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620432"/>
      <w:docPartObj>
        <w:docPartGallery w:val="Page Numbers (Bottom of Page)"/>
        <w:docPartUnique/>
      </w:docPartObj>
    </w:sdtPr>
    <w:sdtContent>
      <w:sdt>
        <w:sdtPr>
          <w:id w:val="-1705238520"/>
          <w:docPartObj>
            <w:docPartGallery w:val="Page Numbers (Top of Page)"/>
            <w:docPartUnique/>
          </w:docPartObj>
        </w:sdtPr>
        <w:sdtContent>
          <w:p w14:paraId="1F97ACC6" w14:textId="3EC519DE" w:rsidR="00B94826" w:rsidRPr="00B05F34" w:rsidRDefault="00B94826" w:rsidP="00E01858">
            <w:pPr>
              <w:pStyle w:val="Footer"/>
              <w:tabs>
                <w:tab w:val="clear" w:pos="4680"/>
              </w:tabs>
              <w:ind w:firstLine="720"/>
            </w:pPr>
            <w:r>
              <w:rPr>
                <w:rFonts w:asciiTheme="majorHAnsi" w:hAnsiTheme="majorHAnsi"/>
                <w:sz w:val="22"/>
              </w:rPr>
              <w:t xml:space="preserve">Page </w:t>
            </w:r>
            <w:r w:rsidR="003B62E4" w:rsidRPr="00B05F34">
              <w:rPr>
                <w:rFonts w:asciiTheme="majorHAnsi" w:hAnsiTheme="majorHAnsi"/>
                <w:b/>
                <w:bCs/>
                <w:sz w:val="22"/>
              </w:rPr>
              <w:fldChar w:fldCharType="begin"/>
            </w:r>
            <w:r w:rsidRPr="00B05F34">
              <w:rPr>
                <w:rFonts w:asciiTheme="majorHAnsi" w:hAnsiTheme="majorHAnsi"/>
                <w:b/>
                <w:bCs/>
                <w:sz w:val="22"/>
              </w:rPr>
              <w:instrText xml:space="preserve"> PAGE </w:instrText>
            </w:r>
            <w:r w:rsidR="003B62E4" w:rsidRPr="00B05F34">
              <w:rPr>
                <w:rFonts w:asciiTheme="majorHAnsi" w:hAnsiTheme="majorHAnsi"/>
                <w:b/>
                <w:bCs/>
                <w:sz w:val="22"/>
              </w:rPr>
              <w:fldChar w:fldCharType="separate"/>
            </w:r>
            <w:r w:rsidR="009B2C81">
              <w:rPr>
                <w:rFonts w:asciiTheme="majorHAnsi" w:hAnsiTheme="majorHAnsi"/>
                <w:b/>
                <w:bCs/>
                <w:noProof/>
                <w:sz w:val="22"/>
              </w:rPr>
              <w:t>5</w:t>
            </w:r>
            <w:r w:rsidR="003B62E4" w:rsidRPr="00B05F34">
              <w:rPr>
                <w:rFonts w:asciiTheme="majorHAnsi" w:hAnsiTheme="majorHAnsi"/>
                <w:b/>
                <w:bCs/>
                <w:sz w:val="22"/>
              </w:rPr>
              <w:fldChar w:fldCharType="end"/>
            </w:r>
            <w:r>
              <w:rPr>
                <w:rFonts w:asciiTheme="majorHAnsi" w:hAnsiTheme="majorHAnsi"/>
                <w:sz w:val="22"/>
              </w:rPr>
              <w:t xml:space="preserve"> de </w:t>
            </w:r>
            <w:r w:rsidR="003B62E4" w:rsidRPr="00B05F34">
              <w:rPr>
                <w:rFonts w:asciiTheme="majorHAnsi" w:hAnsiTheme="majorHAnsi"/>
                <w:b/>
                <w:bCs/>
                <w:sz w:val="22"/>
              </w:rPr>
              <w:fldChar w:fldCharType="begin"/>
            </w:r>
            <w:r w:rsidRPr="00B05F34">
              <w:rPr>
                <w:rFonts w:asciiTheme="majorHAnsi" w:hAnsiTheme="majorHAnsi"/>
                <w:b/>
                <w:bCs/>
                <w:sz w:val="22"/>
              </w:rPr>
              <w:instrText xml:space="preserve"> NUMPAGES  </w:instrText>
            </w:r>
            <w:r w:rsidR="003B62E4" w:rsidRPr="00B05F34">
              <w:rPr>
                <w:rFonts w:asciiTheme="majorHAnsi" w:hAnsiTheme="majorHAnsi"/>
                <w:b/>
                <w:bCs/>
                <w:sz w:val="22"/>
              </w:rPr>
              <w:fldChar w:fldCharType="separate"/>
            </w:r>
            <w:r w:rsidR="009B2C81">
              <w:rPr>
                <w:rFonts w:asciiTheme="majorHAnsi" w:hAnsiTheme="majorHAnsi"/>
                <w:b/>
                <w:bCs/>
                <w:noProof/>
                <w:sz w:val="22"/>
              </w:rPr>
              <w:t>11</w:t>
            </w:r>
            <w:r w:rsidR="003B62E4" w:rsidRPr="00B05F34">
              <w:rPr>
                <w:rFonts w:asciiTheme="majorHAnsi" w:hAnsiTheme="majorHAnsi"/>
                <w:b/>
                <w:bCs/>
                <w:sz w:val="22"/>
              </w:rPr>
              <w:fldChar w:fldCharType="end"/>
            </w:r>
            <w:r>
              <w:rPr>
                <w:rFonts w:asciiTheme="majorHAnsi" w:hAnsiTheme="majorHAnsi"/>
                <w:b/>
                <w:bCs/>
                <w:sz w:val="22"/>
              </w:rPr>
              <w:t xml:space="preserve">                         </w:t>
            </w:r>
            <w:r>
              <w:t>Date d’entrée en vigueur</w:t>
            </w:r>
            <w:r>
              <w:rPr>
                <w:rFonts w:asciiTheme="majorHAnsi" w:hAnsiTheme="majorHAnsi"/>
                <w:bCs/>
                <w:sz w:val="22"/>
              </w:rPr>
              <w:t xml:space="preserve"> :</w:t>
            </w:r>
            <w:r w:rsidR="00EF4205" w:rsidRPr="00EF4205">
              <w:t xml:space="preserve"> </w:t>
            </w:r>
            <w:r w:rsidR="00EF4205" w:rsidRPr="00EF4205">
              <w:rPr>
                <w:rFonts w:asciiTheme="majorHAnsi" w:hAnsiTheme="majorHAnsi"/>
                <w:bCs/>
                <w:sz w:val="22"/>
              </w:rPr>
              <w:t>01/08/2017</w:t>
            </w:r>
            <w:r w:rsidR="00056ED9">
              <w:rPr>
                <w:rFonts w:asciiTheme="majorHAnsi" w:hAnsiTheme="majorHAnsi"/>
                <w:bCs/>
                <w:sz w:val="22"/>
              </w:rPr>
              <w:tab/>
              <w:t xml:space="preserve">          Version n</w:t>
            </w:r>
            <w:r w:rsidR="00056ED9" w:rsidRPr="00056ED9">
              <w:rPr>
                <w:rFonts w:asciiTheme="majorHAnsi" w:hAnsiTheme="majorHAnsi"/>
                <w:bCs/>
                <w:sz w:val="22"/>
                <w:vertAlign w:val="superscript"/>
              </w:rPr>
              <w:t>o</w:t>
            </w:r>
            <w:r w:rsidR="00056ED9">
              <w:rPr>
                <w:rFonts w:asciiTheme="majorHAnsi" w:hAnsiTheme="majorHAnsi"/>
                <w:bCs/>
                <w:sz w:val="22"/>
              </w:rPr>
              <w:t> </w:t>
            </w:r>
            <w:r>
              <w:rPr>
                <w:rFonts w:asciiTheme="majorHAnsi" w:hAnsiTheme="majorHAnsi"/>
                <w:bCs/>
                <w:sz w:val="22"/>
              </w:rPr>
              <w:t xml:space="preserve">: </w:t>
            </w:r>
            <w:sdt>
              <w:sdtPr>
                <w:rPr>
                  <w:rFonts w:asciiTheme="majorHAnsi" w:hAnsiTheme="majorHAnsi"/>
                  <w:bCs/>
                  <w:sz w:val="22"/>
                </w:rPr>
                <w:alias w:val="POPPRefItemVersion"/>
                <w:tag w:val="UNDP_POPP_REFITEM_VERSION"/>
                <w:id w:val="720944586"/>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73628B67-8EAC-464D-95F8-1E8537CD22EA}"/>
                <w:text/>
              </w:sdtPr>
              <w:sdtContent>
                <w:r w:rsidR="00A249C6">
                  <w:rPr>
                    <w:rFonts w:asciiTheme="majorHAnsi" w:hAnsiTheme="majorHAnsi"/>
                    <w:bCs/>
                    <w:sz w:val="22"/>
                  </w:rPr>
                  <w:t>6</w:t>
                </w:r>
              </w:sdtContent>
            </w:sdt>
          </w:p>
        </w:sdtContent>
      </w:sdt>
    </w:sdtContent>
  </w:sdt>
  <w:p w14:paraId="18CBF8DB" w14:textId="77777777" w:rsidR="00B94826" w:rsidRDefault="00B94826">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C493C" w14:textId="77777777" w:rsidR="00BD34FD" w:rsidRDefault="00BD34FD" w:rsidP="006A295A">
      <w:r>
        <w:separator/>
      </w:r>
    </w:p>
  </w:footnote>
  <w:footnote w:type="continuationSeparator" w:id="0">
    <w:p w14:paraId="535B805B" w14:textId="77777777" w:rsidR="00BD34FD" w:rsidRDefault="00BD34FD" w:rsidP="006A295A">
      <w:r>
        <w:continuationSeparator/>
      </w:r>
    </w:p>
  </w:footnote>
  <w:footnote w:id="1">
    <w:p w14:paraId="34E32A85" w14:textId="63719C25" w:rsidR="00B94826" w:rsidRPr="00A80A0C" w:rsidRDefault="00B94826" w:rsidP="00DE6097">
      <w:pPr>
        <w:pStyle w:val="FootnoteText"/>
        <w:ind w:left="720"/>
        <w:jc w:val="both"/>
        <w:rPr>
          <w:rFonts w:asciiTheme="majorHAnsi" w:hAnsiTheme="majorHAnsi"/>
        </w:rPr>
      </w:pPr>
      <w:r>
        <w:rPr>
          <w:rStyle w:val="FootnoteReference"/>
          <w:rFonts w:asciiTheme="majorHAnsi" w:hAnsiTheme="majorHAnsi"/>
        </w:rPr>
        <w:footnoteRef/>
      </w:r>
      <w:r>
        <w:rPr>
          <w:rFonts w:asciiTheme="majorHAnsi" w:hAnsiTheme="majorHAnsi"/>
        </w:rPr>
        <w:t xml:space="preserve"> Le personnel désigné par l'unité requérante ou le projet demandeur. Il peut s'agir du chargé de projet, de l'ingénieur, du conseiller technique ou du partenaire de réalisation du PNUD dans une modalité de réalisation nationale ou de l'équipe de gestion des </w:t>
      </w:r>
      <w:r w:rsidR="00697E4E">
        <w:rPr>
          <w:rFonts w:asciiTheme="majorHAnsi" w:hAnsiTheme="majorHAnsi"/>
        </w:rPr>
        <w:t xml:space="preserve">contrats </w:t>
      </w:r>
      <w:r>
        <w:rPr>
          <w:rFonts w:asciiTheme="majorHAnsi" w:hAnsiTheme="majorHAnsi"/>
        </w:rPr>
        <w:t xml:space="preserve">pour les marchés supérieurs à 2 millions de dollars des États-Unis. Tout fonctionnaire affecté à la gestion </w:t>
      </w:r>
      <w:r w:rsidR="00697E4E">
        <w:rPr>
          <w:rFonts w:asciiTheme="majorHAnsi" w:hAnsiTheme="majorHAnsi"/>
        </w:rPr>
        <w:t xml:space="preserve">de contrats </w:t>
      </w:r>
      <w:r>
        <w:rPr>
          <w:rFonts w:asciiTheme="majorHAnsi" w:hAnsiTheme="majorHAnsi"/>
        </w:rPr>
        <w:t xml:space="preserve">doit connaître les exigences du </w:t>
      </w:r>
      <w:r w:rsidR="00697E4E">
        <w:rPr>
          <w:rFonts w:asciiTheme="majorHAnsi" w:hAnsiTheme="majorHAnsi"/>
        </w:rPr>
        <w:t>contrat</w:t>
      </w:r>
      <w:r>
        <w:rPr>
          <w:rFonts w:asciiTheme="majorHAnsi" w:hAnsiTheme="majorHAnsi"/>
        </w:rPr>
        <w:t>.</w:t>
      </w:r>
    </w:p>
  </w:footnote>
  <w:footnote w:id="2">
    <w:p w14:paraId="09E2F22F" w14:textId="51DA8F6C" w:rsidR="00B94826" w:rsidRDefault="00B94826" w:rsidP="00DE6097">
      <w:pPr>
        <w:pStyle w:val="FootnoteText"/>
        <w:ind w:left="709"/>
        <w:jc w:val="both"/>
      </w:pPr>
      <w:r>
        <w:rPr>
          <w:rStyle w:val="FootnoteReference"/>
          <w:rFonts w:asciiTheme="majorHAnsi" w:hAnsiTheme="majorHAnsi"/>
        </w:rPr>
        <w:footnoteRef/>
      </w:r>
      <w:r>
        <w:rPr>
          <w:rFonts w:asciiTheme="majorHAnsi" w:hAnsiTheme="majorHAnsi"/>
        </w:rPr>
        <w:t xml:space="preserve"> La stratégie de gestion de</w:t>
      </w:r>
      <w:r w:rsidR="00D643A0">
        <w:rPr>
          <w:rFonts w:asciiTheme="majorHAnsi" w:hAnsiTheme="majorHAnsi"/>
        </w:rPr>
        <w:t xml:space="preserve"> contrats </w:t>
      </w:r>
      <w:r>
        <w:rPr>
          <w:rFonts w:asciiTheme="majorHAnsi" w:hAnsiTheme="majorHAnsi"/>
        </w:rPr>
        <w:t>consiste à définir les éléments « quoi », « comment », « qui » et « quand » de la gestion régulière du</w:t>
      </w:r>
      <w:r w:rsidR="00D643A0">
        <w:rPr>
          <w:rFonts w:asciiTheme="majorHAnsi" w:hAnsiTheme="majorHAnsi"/>
        </w:rPr>
        <w:t xml:space="preserve"> contrat</w:t>
      </w:r>
      <w:r>
        <w:rPr>
          <w:rFonts w:asciiTheme="majorHAnsi" w:hAnsiTheme="majorHAnsi"/>
        </w:rPr>
        <w:t xml:space="preserve">, depuis son attribution jusqu'à son achèvement, et intègre les exigences déjà définies aux étapes préalables au processus de passation des </w:t>
      </w:r>
      <w:r w:rsidRPr="002449E5">
        <w:rPr>
          <w:rFonts w:asciiTheme="majorHAnsi" w:hAnsiTheme="majorHAnsi"/>
        </w:rPr>
        <w:t xml:space="preserve">marchés dans </w:t>
      </w:r>
      <w:r>
        <w:rPr>
          <w:rFonts w:asciiTheme="majorHAnsi" w:hAnsiTheme="majorHAnsi"/>
        </w:rPr>
        <w:t xml:space="preserve">les termes de référence, les spécifications, </w:t>
      </w:r>
      <w:r w:rsidR="00697E4E">
        <w:rPr>
          <w:rFonts w:asciiTheme="majorHAnsi" w:hAnsiTheme="majorHAnsi"/>
        </w:rPr>
        <w:t xml:space="preserve">les cahiers de charges, </w:t>
      </w:r>
      <w:r>
        <w:rPr>
          <w:rFonts w:asciiTheme="majorHAnsi" w:hAnsiTheme="majorHAnsi"/>
        </w:rPr>
        <w:t>les modalités et les conditions du marché.</w:t>
      </w:r>
    </w:p>
  </w:footnote>
  <w:footnote w:id="3">
    <w:p w14:paraId="62719B96" w14:textId="77777777" w:rsidR="00B94826" w:rsidRDefault="00B94826">
      <w:pPr>
        <w:pStyle w:val="FootnoteText"/>
        <w:ind w:firstLine="720"/>
      </w:pPr>
      <w:r>
        <w:rPr>
          <w:rStyle w:val="FootnoteReference"/>
          <w:rFonts w:asciiTheme="majorHAnsi" w:hAnsiTheme="majorHAnsi"/>
        </w:rPr>
        <w:footnoteRef/>
      </w:r>
      <w:r>
        <w:rPr>
          <w:rFonts w:asciiTheme="majorHAnsi" w:hAnsiTheme="majorHAnsi"/>
        </w:rPr>
        <w:t>Les paiements sont traités par le demandeur, tandis que l'unité chargée des achats fournit les documents contractuels correspondants et fournit un soutien en cas de litige ou de désaccord sur les paiements dus au fournisseur.</w:t>
      </w:r>
    </w:p>
  </w:footnote>
  <w:footnote w:id="4">
    <w:p w14:paraId="3B6AB145" w14:textId="77777777" w:rsidR="00B94826" w:rsidRPr="00A80A0C" w:rsidRDefault="00B94826">
      <w:pPr>
        <w:pStyle w:val="FootnoteText"/>
        <w:rPr>
          <w:rFonts w:asciiTheme="majorHAnsi" w:hAnsiTheme="majorHAnsi"/>
        </w:rPr>
      </w:pPr>
      <w:r w:rsidRPr="004B1025">
        <w:rPr>
          <w:rStyle w:val="FootnoteReference"/>
          <w:rFonts w:asciiTheme="majorHAnsi" w:hAnsiTheme="majorHAnsi"/>
        </w:rPr>
        <w:footnoteRef/>
      </w:r>
      <w:r w:rsidRPr="004B1025">
        <w:rPr>
          <w:rFonts w:asciiTheme="majorHAnsi" w:hAnsiTheme="majorHAnsi"/>
        </w:rPr>
        <w:t>Ou l'équipe de gestion des marchés dans le cas de marchés complexes et d’un montant supérieur à 2 millions de dollars des États-Unis.</w:t>
      </w:r>
    </w:p>
  </w:footnote>
  <w:footnote w:id="5">
    <w:p w14:paraId="071F6D80" w14:textId="13C194CC" w:rsidR="00B94826" w:rsidRPr="00A80A0C" w:rsidRDefault="00B94826">
      <w:pPr>
        <w:pStyle w:val="FootnoteText"/>
        <w:rPr>
          <w:rFonts w:asciiTheme="majorHAnsi" w:hAnsiTheme="majorHAnsi"/>
        </w:rPr>
      </w:pPr>
      <w:r>
        <w:rPr>
          <w:rStyle w:val="FootnoteReference"/>
          <w:rFonts w:asciiTheme="majorHAnsi" w:hAnsiTheme="majorHAnsi"/>
        </w:rPr>
        <w:footnoteRef/>
      </w:r>
      <w:r>
        <w:rPr>
          <w:rFonts w:asciiTheme="majorHAnsi" w:hAnsiTheme="majorHAnsi"/>
        </w:rPr>
        <w:t xml:space="preserve"> Il s’agit de la clôture du marché avec le fournisseur et l'achèvement du bon de commande dans </w:t>
      </w:r>
      <w:r w:rsidR="00AF52D9">
        <w:rPr>
          <w:rFonts w:asciiTheme="majorHAnsi" w:hAnsiTheme="majorHAnsi"/>
        </w:rPr>
        <w:t>Quantum</w:t>
      </w:r>
      <w:r>
        <w:rPr>
          <w:rFonts w:asciiTheme="majorHAnsi" w:hAnsiTheme="majorHAnsi"/>
        </w:rPr>
        <w:t>. Il est différent de la clôture du projet qui est gérée par l'équipe du projet conformément aux directives programmatiques.</w:t>
      </w:r>
    </w:p>
  </w:footnote>
  <w:footnote w:id="6">
    <w:p w14:paraId="5BB87B46" w14:textId="77777777" w:rsidR="00B94826" w:rsidRPr="00A80A0C" w:rsidRDefault="00B94826" w:rsidP="00765C5F">
      <w:pPr>
        <w:pStyle w:val="FootnoteText"/>
        <w:rPr>
          <w:rFonts w:asciiTheme="majorHAnsi" w:hAnsiTheme="majorHAnsi"/>
        </w:rPr>
      </w:pPr>
      <w:r>
        <w:rPr>
          <w:rStyle w:val="FootnoteReference"/>
          <w:rFonts w:asciiTheme="majorHAnsi" w:hAnsiTheme="majorHAnsi"/>
        </w:rPr>
        <w:footnoteRef/>
      </w:r>
      <w:r>
        <w:rPr>
          <w:rFonts w:asciiTheme="majorHAnsi" w:hAnsiTheme="majorHAnsi"/>
        </w:rPr>
        <w:t xml:space="preserve"> L'évaluation des résultats doit être examinée dans le cadre du processus d'évaluation pour l'engagement ultérieur du soumissionnaire, et les mesures à prendre pour remédier à tout problème éventuel doivent être identifiées.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E0057" w14:textId="574E0DB1" w:rsidR="00B94826" w:rsidRDefault="009515F8" w:rsidP="00A80A0C">
    <w:pPr>
      <w:pStyle w:val="Header"/>
      <w:jc w:val="right"/>
    </w:pPr>
    <w:r>
      <w:rPr>
        <w:noProof/>
      </w:rPr>
      <w:drawing>
        <wp:inline distT="0" distB="0" distL="0" distR="0" wp14:anchorId="386B7536" wp14:editId="0D7C7049">
          <wp:extent cx="294640" cy="59309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r="3247" b="15579"/>
                  <a:stretch/>
                </pic:blipFill>
                <pic:spPr bwMode="auto">
                  <a:xfrm>
                    <a:off x="0" y="0"/>
                    <a:ext cx="294640" cy="59309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831"/>
    <w:multiLevelType w:val="hybridMultilevel"/>
    <w:tmpl w:val="081EDA88"/>
    <w:lvl w:ilvl="0" w:tplc="4FF6EEAC">
      <w:start w:val="1"/>
      <w:numFmt w:val="decimal"/>
      <w:lvlText w:val="%1."/>
      <w:lvlJc w:val="left"/>
      <w:pPr>
        <w:ind w:left="720" w:hanging="360"/>
      </w:pPr>
      <w:rPr>
        <w:b w:val="0"/>
      </w:rPr>
    </w:lvl>
    <w:lvl w:ilvl="1" w:tplc="041C0019">
      <w:start w:val="1"/>
      <w:numFmt w:val="lowerLetter"/>
      <w:lvlText w:val="%2."/>
      <w:lvlJc w:val="left"/>
      <w:pPr>
        <w:ind w:left="1440" w:hanging="360"/>
      </w:pPr>
    </w:lvl>
    <w:lvl w:ilvl="2" w:tplc="041C001B">
      <w:start w:val="1"/>
      <w:numFmt w:val="lowerRoman"/>
      <w:lvlText w:val="%3."/>
      <w:lvlJc w:val="right"/>
      <w:pPr>
        <w:ind w:left="2160" w:hanging="180"/>
      </w:pPr>
    </w:lvl>
    <w:lvl w:ilvl="3" w:tplc="041C000F">
      <w:start w:val="1"/>
      <w:numFmt w:val="decimal"/>
      <w:lvlText w:val="%4."/>
      <w:lvlJc w:val="left"/>
      <w:pPr>
        <w:ind w:left="2880" w:hanging="360"/>
      </w:pPr>
    </w:lvl>
    <w:lvl w:ilvl="4" w:tplc="041C0019">
      <w:start w:val="1"/>
      <w:numFmt w:val="lowerLetter"/>
      <w:lvlText w:val="%5."/>
      <w:lvlJc w:val="left"/>
      <w:pPr>
        <w:ind w:left="3600" w:hanging="360"/>
      </w:pPr>
    </w:lvl>
    <w:lvl w:ilvl="5" w:tplc="041C001B">
      <w:start w:val="1"/>
      <w:numFmt w:val="lowerRoman"/>
      <w:lvlText w:val="%6."/>
      <w:lvlJc w:val="right"/>
      <w:pPr>
        <w:ind w:left="4320" w:hanging="180"/>
      </w:pPr>
    </w:lvl>
    <w:lvl w:ilvl="6" w:tplc="041C000F">
      <w:start w:val="1"/>
      <w:numFmt w:val="decimal"/>
      <w:lvlText w:val="%7."/>
      <w:lvlJc w:val="left"/>
      <w:pPr>
        <w:ind w:left="5040" w:hanging="360"/>
      </w:pPr>
    </w:lvl>
    <w:lvl w:ilvl="7" w:tplc="041C0019">
      <w:start w:val="1"/>
      <w:numFmt w:val="lowerLetter"/>
      <w:lvlText w:val="%8."/>
      <w:lvlJc w:val="left"/>
      <w:pPr>
        <w:ind w:left="5760" w:hanging="360"/>
      </w:pPr>
    </w:lvl>
    <w:lvl w:ilvl="8" w:tplc="041C001B">
      <w:start w:val="1"/>
      <w:numFmt w:val="lowerRoman"/>
      <w:lvlText w:val="%9."/>
      <w:lvlJc w:val="right"/>
      <w:pPr>
        <w:ind w:left="6480" w:hanging="180"/>
      </w:pPr>
    </w:lvl>
  </w:abstractNum>
  <w:abstractNum w:abstractNumId="1" w15:restartNumberingAfterBreak="0">
    <w:nsid w:val="03F162DE"/>
    <w:multiLevelType w:val="multilevel"/>
    <w:tmpl w:val="54FCDD16"/>
    <w:lvl w:ilvl="0">
      <w:start w:val="1"/>
      <w:numFmt w:val="bullet"/>
      <w:lvlText w:val=""/>
      <w:lvlJc w:val="left"/>
      <w:pPr>
        <w:ind w:left="144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056726"/>
    <w:multiLevelType w:val="hybridMultilevel"/>
    <w:tmpl w:val="AFD05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C92F36"/>
    <w:multiLevelType w:val="hybridMultilevel"/>
    <w:tmpl w:val="B5CCF29C"/>
    <w:lvl w:ilvl="0" w:tplc="04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6B62454"/>
    <w:multiLevelType w:val="hybridMultilevel"/>
    <w:tmpl w:val="AE72C23A"/>
    <w:lvl w:ilvl="0" w:tplc="A888F2FE">
      <w:start w:val="1"/>
      <w:numFmt w:val="lowerLetter"/>
      <w:lvlText w:val="%1)"/>
      <w:lvlJc w:val="left"/>
      <w:pPr>
        <w:ind w:left="1080" w:hanging="360"/>
      </w:pPr>
      <w:rPr>
        <w:rFonts w:asciiTheme="majorHAnsi" w:hAnsiTheme="majorHAnsi" w:cs="Helvetica-Bold"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B73482"/>
    <w:multiLevelType w:val="hybridMultilevel"/>
    <w:tmpl w:val="4F5621C2"/>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8124B54"/>
    <w:multiLevelType w:val="hybridMultilevel"/>
    <w:tmpl w:val="55A063F2"/>
    <w:lvl w:ilvl="0" w:tplc="00F27C82">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A24A7D"/>
    <w:multiLevelType w:val="multilevel"/>
    <w:tmpl w:val="54FCDD16"/>
    <w:lvl w:ilvl="0">
      <w:start w:val="1"/>
      <w:numFmt w:val="bullet"/>
      <w:lvlText w:val=""/>
      <w:lvlJc w:val="left"/>
      <w:pPr>
        <w:ind w:left="108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8" w15:restartNumberingAfterBreak="0">
    <w:nsid w:val="0BA15154"/>
    <w:multiLevelType w:val="hybridMultilevel"/>
    <w:tmpl w:val="9A6A6EE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1006B51"/>
    <w:multiLevelType w:val="hybridMultilevel"/>
    <w:tmpl w:val="A5821C22"/>
    <w:lvl w:ilvl="0" w:tplc="A8A2C4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13609"/>
    <w:multiLevelType w:val="hybridMultilevel"/>
    <w:tmpl w:val="1A5C97D2"/>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7A83BEA"/>
    <w:multiLevelType w:val="multilevel"/>
    <w:tmpl w:val="FABCB204"/>
    <w:lvl w:ilvl="0">
      <w:start w:val="1"/>
      <w:numFmt w:val="bullet"/>
      <w:lvlText w:val=""/>
      <w:lvlJc w:val="left"/>
      <w:pPr>
        <w:ind w:left="1440" w:hanging="360"/>
      </w:pPr>
      <w:rPr>
        <w:rFonts w:ascii="Symbol" w:hAnsi="Symbol" w:hint="default"/>
      </w:rPr>
    </w:lvl>
    <w:lvl w:ilvl="1">
      <w:start w:val="1"/>
      <w:numFmt w:val="decimal"/>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182331FF"/>
    <w:multiLevelType w:val="hybridMultilevel"/>
    <w:tmpl w:val="95C2E16C"/>
    <w:lvl w:ilvl="0" w:tplc="04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1ACD6917"/>
    <w:multiLevelType w:val="hybridMultilevel"/>
    <w:tmpl w:val="E032594C"/>
    <w:lvl w:ilvl="0" w:tplc="A866CB32">
      <w:start w:val="9"/>
      <w:numFmt w:val="bullet"/>
      <w:lvlText w:val="•"/>
      <w:lvlJc w:val="left"/>
      <w:pPr>
        <w:ind w:left="1080" w:hanging="360"/>
      </w:pPr>
      <w:rPr>
        <w:rFonts w:ascii="Calibri" w:eastAsiaTheme="minorEastAsia" w:hAnsi="Calibri"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1B7F1EB8"/>
    <w:multiLevelType w:val="hybridMultilevel"/>
    <w:tmpl w:val="387C4806"/>
    <w:lvl w:ilvl="0" w:tplc="6AFA67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1353148"/>
    <w:multiLevelType w:val="hybridMultilevel"/>
    <w:tmpl w:val="83A49574"/>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F50DDE"/>
    <w:multiLevelType w:val="multilevel"/>
    <w:tmpl w:val="FABCB204"/>
    <w:lvl w:ilvl="0">
      <w:start w:val="1"/>
      <w:numFmt w:val="bullet"/>
      <w:lvlText w:val=""/>
      <w:lvlJc w:val="left"/>
      <w:pPr>
        <w:ind w:left="1440" w:hanging="360"/>
      </w:pPr>
      <w:rPr>
        <w:rFonts w:ascii="Symbol" w:hAnsi="Symbol" w:hint="default"/>
      </w:rPr>
    </w:lvl>
    <w:lvl w:ilvl="1">
      <w:start w:val="1"/>
      <w:numFmt w:val="decimal"/>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272A2224"/>
    <w:multiLevelType w:val="hybridMultilevel"/>
    <w:tmpl w:val="A5BA4F8A"/>
    <w:lvl w:ilvl="0" w:tplc="0409001B">
      <w:start w:val="1"/>
      <w:numFmt w:val="lowerRoman"/>
      <w:lvlText w:val="%1."/>
      <w:lvlJc w:val="right"/>
      <w:pPr>
        <w:ind w:left="1800" w:hanging="360"/>
      </w:pPr>
      <w:rPr>
        <w:rFonts w:hint="default"/>
      </w:rPr>
    </w:lvl>
    <w:lvl w:ilvl="1" w:tplc="3678F9E8">
      <w:start w:val="1"/>
      <w:numFmt w:val="decimal"/>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8353373"/>
    <w:multiLevelType w:val="hybridMultilevel"/>
    <w:tmpl w:val="8F6C8E66"/>
    <w:lvl w:ilvl="0" w:tplc="85824174">
      <w:start w:val="1"/>
      <w:numFmt w:val="decimal"/>
      <w:lvlText w:val="%1."/>
      <w:lvlJc w:val="left"/>
      <w:pPr>
        <w:ind w:left="720" w:hanging="360"/>
      </w:pPr>
      <w:rPr>
        <w:rFonts w:asciiTheme="majorHAnsi" w:hAnsiTheme="majorHAns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216B0"/>
    <w:multiLevelType w:val="hybridMultilevel"/>
    <w:tmpl w:val="0C22D0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21E63E8"/>
    <w:multiLevelType w:val="hybridMultilevel"/>
    <w:tmpl w:val="128ABF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26E66D6"/>
    <w:multiLevelType w:val="hybridMultilevel"/>
    <w:tmpl w:val="E3E203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D253CE"/>
    <w:multiLevelType w:val="hybridMultilevel"/>
    <w:tmpl w:val="1DACC3C8"/>
    <w:lvl w:ilvl="0" w:tplc="6728BF90">
      <w:start w:val="1"/>
      <w:numFmt w:val="lowerLetter"/>
      <w:lvlText w:val="%1)"/>
      <w:lvlJc w:val="left"/>
      <w:pPr>
        <w:ind w:left="1080" w:hanging="360"/>
      </w:pPr>
      <w:rPr>
        <w:rFonts w:asciiTheme="majorHAnsi" w:hAnsiTheme="maj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EB1950"/>
    <w:multiLevelType w:val="hybridMultilevel"/>
    <w:tmpl w:val="AC84AED2"/>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5592C8B"/>
    <w:multiLevelType w:val="hybridMultilevel"/>
    <w:tmpl w:val="1A14EF5C"/>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A1A123F"/>
    <w:multiLevelType w:val="hybridMultilevel"/>
    <w:tmpl w:val="B40236FA"/>
    <w:lvl w:ilvl="0" w:tplc="04090017">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A6A12EC"/>
    <w:multiLevelType w:val="hybridMultilevel"/>
    <w:tmpl w:val="D8F60C1E"/>
    <w:lvl w:ilvl="0" w:tplc="4482BF7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CE36D1A"/>
    <w:multiLevelType w:val="hybridMultilevel"/>
    <w:tmpl w:val="DB96C264"/>
    <w:lvl w:ilvl="0" w:tplc="0118319E">
      <w:start w:val="1"/>
      <w:numFmt w:val="lowerLetter"/>
      <w:lvlText w:val="%1)"/>
      <w:lvlJc w:val="left"/>
      <w:pPr>
        <w:ind w:left="1080" w:hanging="360"/>
      </w:pPr>
      <w:rPr>
        <w:rFonts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D552F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2F972DA"/>
    <w:multiLevelType w:val="multilevel"/>
    <w:tmpl w:val="B3CE80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15:restartNumberingAfterBreak="0">
    <w:nsid w:val="56A831E2"/>
    <w:multiLevelType w:val="hybridMultilevel"/>
    <w:tmpl w:val="EBF6D266"/>
    <w:lvl w:ilvl="0" w:tplc="04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58712EC4"/>
    <w:multiLevelType w:val="multilevel"/>
    <w:tmpl w:val="DE645F0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5AFE1789"/>
    <w:multiLevelType w:val="multilevel"/>
    <w:tmpl w:val="FABCB204"/>
    <w:lvl w:ilvl="0">
      <w:start w:val="1"/>
      <w:numFmt w:val="bullet"/>
      <w:lvlText w:val=""/>
      <w:lvlJc w:val="left"/>
      <w:pPr>
        <w:ind w:left="1440" w:hanging="360"/>
      </w:pPr>
      <w:rPr>
        <w:rFonts w:ascii="Symbol" w:hAnsi="Symbol" w:hint="default"/>
      </w:rPr>
    </w:lvl>
    <w:lvl w:ilvl="1">
      <w:start w:val="1"/>
      <w:numFmt w:val="decimal"/>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3" w15:restartNumberingAfterBreak="0">
    <w:nsid w:val="600D2E2C"/>
    <w:multiLevelType w:val="hybridMultilevel"/>
    <w:tmpl w:val="241CA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571769"/>
    <w:multiLevelType w:val="multilevel"/>
    <w:tmpl w:val="849E0830"/>
    <w:lvl w:ilvl="0">
      <w:start w:val="1"/>
      <w:numFmt w:val="lowerLetter"/>
      <w:lvlText w:val="%1)"/>
      <w:lvlJc w:val="left"/>
      <w:pPr>
        <w:ind w:left="1440" w:hanging="360"/>
      </w:pPr>
      <w:rPr>
        <w:rFonts w:asciiTheme="majorHAnsi" w:eastAsiaTheme="minorEastAsia" w:hAnsiTheme="majorHAnsi" w:cs="ITCGaramondStd-Bk"/>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5" w15:restartNumberingAfterBreak="0">
    <w:nsid w:val="64B66D5B"/>
    <w:multiLevelType w:val="hybridMultilevel"/>
    <w:tmpl w:val="DAD82A5C"/>
    <w:lvl w:ilvl="0" w:tplc="0E486630">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4B94F29"/>
    <w:multiLevelType w:val="hybridMultilevel"/>
    <w:tmpl w:val="3F7CE0C6"/>
    <w:lvl w:ilvl="0" w:tplc="A866CB32">
      <w:start w:val="9"/>
      <w:numFmt w:val="bullet"/>
      <w:lvlText w:val="•"/>
      <w:lvlJc w:val="left"/>
      <w:pPr>
        <w:ind w:left="1080" w:hanging="360"/>
      </w:pPr>
      <w:rPr>
        <w:rFonts w:ascii="Calibri" w:eastAsiaTheme="minorEastAsia" w:hAnsi="Calibri" w:cs="Aria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7" w15:restartNumberingAfterBreak="0">
    <w:nsid w:val="64C3652B"/>
    <w:multiLevelType w:val="multilevel"/>
    <w:tmpl w:val="23888DD0"/>
    <w:lvl w:ilvl="0">
      <w:start w:val="1"/>
      <w:numFmt w:val="lowerLetter"/>
      <w:lvlText w:val="%1)"/>
      <w:lvlJc w:val="left"/>
      <w:pPr>
        <w:ind w:left="1440" w:hanging="360"/>
      </w:pPr>
      <w:rPr>
        <w:rFonts w:hint="default"/>
      </w:rPr>
    </w:lvl>
    <w:lvl w:ilvl="1">
      <w:start w:val="1"/>
      <w:numFmt w:val="decimal"/>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8" w15:restartNumberingAfterBreak="0">
    <w:nsid w:val="64D17E24"/>
    <w:multiLevelType w:val="multilevel"/>
    <w:tmpl w:val="B88E9900"/>
    <w:lvl w:ilvl="0">
      <w:start w:val="1"/>
      <w:numFmt w:val="bullet"/>
      <w:lvlText w:val=""/>
      <w:lvlJc w:val="left"/>
      <w:pPr>
        <w:ind w:left="1080" w:hanging="360"/>
      </w:pPr>
      <w:rPr>
        <w:rFonts w:ascii="Symbol" w:hAnsi="Symbol" w:hint="default"/>
      </w:rPr>
    </w:lvl>
    <w:lvl w:ilvl="1">
      <w:start w:val="1"/>
      <w:numFmt w:val="decimal"/>
      <w:lvlText w:val="%2."/>
      <w:lvlJc w:val="left"/>
      <w:pPr>
        <w:ind w:left="1800" w:hanging="360"/>
      </w:pPr>
      <w:rPr>
        <w:rFonts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9" w15:restartNumberingAfterBreak="0">
    <w:nsid w:val="674F0C17"/>
    <w:multiLevelType w:val="multilevel"/>
    <w:tmpl w:val="B9EC418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67736DE1"/>
    <w:multiLevelType w:val="hybridMultilevel"/>
    <w:tmpl w:val="630A06FC"/>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8B357E6"/>
    <w:multiLevelType w:val="multilevel"/>
    <w:tmpl w:val="F79A951E"/>
    <w:lvl w:ilvl="0">
      <w:start w:val="1"/>
      <w:numFmt w:val="decimal"/>
      <w:lvlText w:val="%1."/>
      <w:lvlJc w:val="left"/>
      <w:pPr>
        <w:ind w:left="720" w:hanging="360"/>
      </w:pPr>
      <w:rPr>
        <w:rFonts w:hint="default"/>
        <w:b w:val="0"/>
        <w:u w:val="none"/>
      </w:rPr>
    </w:lvl>
    <w:lvl w:ilvl="1">
      <w:start w:val="3"/>
      <w:numFmt w:val="decimal"/>
      <w:isLgl/>
      <w:lvlText w:val="%1.%2"/>
      <w:lvlJc w:val="left"/>
      <w:pPr>
        <w:ind w:left="720" w:hanging="360"/>
      </w:pPr>
      <w:rPr>
        <w:rFonts w:cstheme="minorBidi" w:hint="default"/>
        <w:b w:val="0"/>
      </w:rPr>
    </w:lvl>
    <w:lvl w:ilvl="2">
      <w:start w:val="1"/>
      <w:numFmt w:val="decimal"/>
      <w:isLgl/>
      <w:lvlText w:val="%1.%2.%3"/>
      <w:lvlJc w:val="left"/>
      <w:pPr>
        <w:ind w:left="1080" w:hanging="720"/>
      </w:pPr>
      <w:rPr>
        <w:rFonts w:cstheme="minorBidi" w:hint="default"/>
        <w:b w:val="0"/>
      </w:rPr>
    </w:lvl>
    <w:lvl w:ilvl="3">
      <w:start w:val="1"/>
      <w:numFmt w:val="decimal"/>
      <w:isLgl/>
      <w:lvlText w:val="%1.%2.%3.%4"/>
      <w:lvlJc w:val="left"/>
      <w:pPr>
        <w:ind w:left="1080" w:hanging="720"/>
      </w:pPr>
      <w:rPr>
        <w:rFonts w:cstheme="minorBidi" w:hint="default"/>
        <w:b w:val="0"/>
      </w:rPr>
    </w:lvl>
    <w:lvl w:ilvl="4">
      <w:start w:val="1"/>
      <w:numFmt w:val="decimal"/>
      <w:isLgl/>
      <w:lvlText w:val="%1.%2.%3.%4.%5"/>
      <w:lvlJc w:val="left"/>
      <w:pPr>
        <w:ind w:left="1440" w:hanging="1080"/>
      </w:pPr>
      <w:rPr>
        <w:rFonts w:cstheme="minorBidi" w:hint="default"/>
        <w:b w:val="0"/>
      </w:rPr>
    </w:lvl>
    <w:lvl w:ilvl="5">
      <w:start w:val="1"/>
      <w:numFmt w:val="decimal"/>
      <w:isLgl/>
      <w:lvlText w:val="%1.%2.%3.%4.%5.%6"/>
      <w:lvlJc w:val="left"/>
      <w:pPr>
        <w:ind w:left="1440" w:hanging="1080"/>
      </w:pPr>
      <w:rPr>
        <w:rFonts w:cstheme="minorBidi" w:hint="default"/>
        <w:b w:val="0"/>
      </w:rPr>
    </w:lvl>
    <w:lvl w:ilvl="6">
      <w:start w:val="1"/>
      <w:numFmt w:val="decimal"/>
      <w:isLgl/>
      <w:lvlText w:val="%1.%2.%3.%4.%5.%6.%7"/>
      <w:lvlJc w:val="left"/>
      <w:pPr>
        <w:ind w:left="1800" w:hanging="1440"/>
      </w:pPr>
      <w:rPr>
        <w:rFonts w:cstheme="minorBidi" w:hint="default"/>
        <w:b w:val="0"/>
      </w:rPr>
    </w:lvl>
    <w:lvl w:ilvl="7">
      <w:start w:val="1"/>
      <w:numFmt w:val="decimal"/>
      <w:isLgl/>
      <w:lvlText w:val="%1.%2.%3.%4.%5.%6.%7.%8"/>
      <w:lvlJc w:val="left"/>
      <w:pPr>
        <w:ind w:left="1800" w:hanging="1440"/>
      </w:pPr>
      <w:rPr>
        <w:rFonts w:cstheme="minorBidi" w:hint="default"/>
        <w:b w:val="0"/>
      </w:rPr>
    </w:lvl>
    <w:lvl w:ilvl="8">
      <w:start w:val="1"/>
      <w:numFmt w:val="decimal"/>
      <w:isLgl/>
      <w:lvlText w:val="%1.%2.%3.%4.%5.%6.%7.%8.%9"/>
      <w:lvlJc w:val="left"/>
      <w:pPr>
        <w:ind w:left="2160" w:hanging="1800"/>
      </w:pPr>
      <w:rPr>
        <w:rFonts w:cstheme="minorBidi" w:hint="default"/>
        <w:b w:val="0"/>
      </w:rPr>
    </w:lvl>
  </w:abstractNum>
  <w:abstractNum w:abstractNumId="42" w15:restartNumberingAfterBreak="0">
    <w:nsid w:val="6DD95AEE"/>
    <w:multiLevelType w:val="hybridMultilevel"/>
    <w:tmpl w:val="02A0F456"/>
    <w:lvl w:ilvl="0" w:tplc="A866CB32">
      <w:start w:val="9"/>
      <w:numFmt w:val="bullet"/>
      <w:lvlText w:val="•"/>
      <w:lvlJc w:val="left"/>
      <w:pPr>
        <w:ind w:left="1440" w:hanging="360"/>
      </w:pPr>
      <w:rPr>
        <w:rFonts w:ascii="Calibri" w:eastAsiaTheme="minorEastAsia"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1075BDE"/>
    <w:multiLevelType w:val="multilevel"/>
    <w:tmpl w:val="6F3A9B30"/>
    <w:lvl w:ilvl="0">
      <w:start w:val="9"/>
      <w:numFmt w:val="bullet"/>
      <w:lvlText w:val="•"/>
      <w:lvlJc w:val="left"/>
      <w:pPr>
        <w:ind w:left="1080" w:hanging="360"/>
      </w:pPr>
      <w:rPr>
        <w:rFonts w:ascii="Calibri" w:eastAsiaTheme="minorEastAsia" w:hAnsi="Calibri" w:cs="Aria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4" w15:restartNumberingAfterBreak="0">
    <w:nsid w:val="74617DC2"/>
    <w:multiLevelType w:val="hybridMultilevel"/>
    <w:tmpl w:val="14AA14DE"/>
    <w:lvl w:ilvl="0" w:tplc="02249994">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E76C11"/>
    <w:multiLevelType w:val="multilevel"/>
    <w:tmpl w:val="24760AE6"/>
    <w:lvl w:ilvl="0">
      <w:start w:val="1"/>
      <w:numFmt w:val="decimal"/>
      <w:lvlText w:val="%1"/>
      <w:lvlJc w:val="left"/>
      <w:pPr>
        <w:ind w:left="360" w:hanging="360"/>
      </w:pPr>
      <w:rPr>
        <w:rFonts w:cs="Helvetica-Bold" w:hint="default"/>
        <w:b w:val="0"/>
      </w:rPr>
    </w:lvl>
    <w:lvl w:ilvl="1">
      <w:start w:val="2"/>
      <w:numFmt w:val="decimal"/>
      <w:lvlText w:val="%1.%2"/>
      <w:lvlJc w:val="left"/>
      <w:pPr>
        <w:ind w:left="360" w:hanging="360"/>
      </w:pPr>
      <w:rPr>
        <w:rFonts w:cs="Helvetica-Bold" w:hint="default"/>
        <w:b w:val="0"/>
      </w:rPr>
    </w:lvl>
    <w:lvl w:ilvl="2">
      <w:start w:val="1"/>
      <w:numFmt w:val="decimal"/>
      <w:lvlText w:val="%1.%2.%3"/>
      <w:lvlJc w:val="left"/>
      <w:pPr>
        <w:ind w:left="720" w:hanging="720"/>
      </w:pPr>
      <w:rPr>
        <w:rFonts w:cs="Helvetica-Bold" w:hint="default"/>
        <w:b w:val="0"/>
      </w:rPr>
    </w:lvl>
    <w:lvl w:ilvl="3">
      <w:start w:val="1"/>
      <w:numFmt w:val="decimal"/>
      <w:lvlText w:val="%1.%2.%3.%4"/>
      <w:lvlJc w:val="left"/>
      <w:pPr>
        <w:ind w:left="720" w:hanging="720"/>
      </w:pPr>
      <w:rPr>
        <w:rFonts w:cs="Helvetica-Bold" w:hint="default"/>
        <w:b w:val="0"/>
      </w:rPr>
    </w:lvl>
    <w:lvl w:ilvl="4">
      <w:start w:val="1"/>
      <w:numFmt w:val="decimal"/>
      <w:lvlText w:val="%1.%2.%3.%4.%5"/>
      <w:lvlJc w:val="left"/>
      <w:pPr>
        <w:ind w:left="1080" w:hanging="1080"/>
      </w:pPr>
      <w:rPr>
        <w:rFonts w:cs="Helvetica-Bold" w:hint="default"/>
        <w:b w:val="0"/>
      </w:rPr>
    </w:lvl>
    <w:lvl w:ilvl="5">
      <w:start w:val="1"/>
      <w:numFmt w:val="decimal"/>
      <w:lvlText w:val="%1.%2.%3.%4.%5.%6"/>
      <w:lvlJc w:val="left"/>
      <w:pPr>
        <w:ind w:left="1080" w:hanging="1080"/>
      </w:pPr>
      <w:rPr>
        <w:rFonts w:cs="Helvetica-Bold" w:hint="default"/>
        <w:b w:val="0"/>
      </w:rPr>
    </w:lvl>
    <w:lvl w:ilvl="6">
      <w:start w:val="1"/>
      <w:numFmt w:val="decimal"/>
      <w:lvlText w:val="%1.%2.%3.%4.%5.%6.%7"/>
      <w:lvlJc w:val="left"/>
      <w:pPr>
        <w:ind w:left="1440" w:hanging="1440"/>
      </w:pPr>
      <w:rPr>
        <w:rFonts w:cs="Helvetica-Bold" w:hint="default"/>
        <w:b w:val="0"/>
      </w:rPr>
    </w:lvl>
    <w:lvl w:ilvl="7">
      <w:start w:val="1"/>
      <w:numFmt w:val="decimal"/>
      <w:lvlText w:val="%1.%2.%3.%4.%5.%6.%7.%8"/>
      <w:lvlJc w:val="left"/>
      <w:pPr>
        <w:ind w:left="1440" w:hanging="1440"/>
      </w:pPr>
      <w:rPr>
        <w:rFonts w:cs="Helvetica-Bold" w:hint="default"/>
        <w:b w:val="0"/>
      </w:rPr>
    </w:lvl>
    <w:lvl w:ilvl="8">
      <w:start w:val="1"/>
      <w:numFmt w:val="decimal"/>
      <w:lvlText w:val="%1.%2.%3.%4.%5.%6.%7.%8.%9"/>
      <w:lvlJc w:val="left"/>
      <w:pPr>
        <w:ind w:left="1800" w:hanging="1800"/>
      </w:pPr>
      <w:rPr>
        <w:rFonts w:cs="Helvetica-Bold" w:hint="default"/>
        <w:b w:val="0"/>
      </w:rPr>
    </w:lvl>
  </w:abstractNum>
  <w:abstractNum w:abstractNumId="46" w15:restartNumberingAfterBreak="0">
    <w:nsid w:val="77DA2E68"/>
    <w:multiLevelType w:val="multilevel"/>
    <w:tmpl w:val="6F3A9B30"/>
    <w:lvl w:ilvl="0">
      <w:start w:val="9"/>
      <w:numFmt w:val="bullet"/>
      <w:lvlText w:val="•"/>
      <w:lvlJc w:val="left"/>
      <w:pPr>
        <w:ind w:left="1080" w:hanging="360"/>
      </w:pPr>
      <w:rPr>
        <w:rFonts w:ascii="Calibri" w:eastAsiaTheme="minorEastAsia" w:hAnsi="Calibri" w:cs="Aria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hint="default"/>
      </w:rPr>
    </w:lvl>
  </w:abstractNum>
  <w:abstractNum w:abstractNumId="47" w15:restartNumberingAfterBreak="0">
    <w:nsid w:val="78065646"/>
    <w:multiLevelType w:val="hybridMultilevel"/>
    <w:tmpl w:val="F55A28D6"/>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79382FE7"/>
    <w:multiLevelType w:val="hybridMultilevel"/>
    <w:tmpl w:val="FF40E1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79A34801"/>
    <w:multiLevelType w:val="hybridMultilevel"/>
    <w:tmpl w:val="08A88928"/>
    <w:lvl w:ilvl="0" w:tplc="A866CB32">
      <w:start w:val="9"/>
      <w:numFmt w:val="bullet"/>
      <w:lvlText w:val="•"/>
      <w:lvlJc w:val="left"/>
      <w:pPr>
        <w:ind w:left="1440" w:hanging="360"/>
      </w:pPr>
      <w:rPr>
        <w:rFonts w:ascii="Calibri" w:eastAsiaTheme="minorEastAsia"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B456435"/>
    <w:multiLevelType w:val="multilevel"/>
    <w:tmpl w:val="9BD4A26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1" w15:restartNumberingAfterBreak="0">
    <w:nsid w:val="7B6A62AA"/>
    <w:multiLevelType w:val="hybridMultilevel"/>
    <w:tmpl w:val="F27032DA"/>
    <w:lvl w:ilvl="0" w:tplc="25381C4C">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BE0163A"/>
    <w:multiLevelType w:val="hybridMultilevel"/>
    <w:tmpl w:val="128ABF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3" w15:restartNumberingAfterBreak="0">
    <w:nsid w:val="7D6134D6"/>
    <w:multiLevelType w:val="hybridMultilevel"/>
    <w:tmpl w:val="6608A136"/>
    <w:lvl w:ilvl="0" w:tplc="0409001B">
      <w:start w:val="1"/>
      <w:numFmt w:val="lowerRoman"/>
      <w:lvlText w:val="%1."/>
      <w:lvlJc w:val="right"/>
      <w:pPr>
        <w:ind w:left="180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7F6D46E1"/>
    <w:multiLevelType w:val="hybridMultilevel"/>
    <w:tmpl w:val="B83C4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6673316">
    <w:abstractNumId w:val="25"/>
  </w:num>
  <w:num w:numId="2" w16cid:durableId="660354202">
    <w:abstractNumId w:val="17"/>
  </w:num>
  <w:num w:numId="3" w16cid:durableId="328171191">
    <w:abstractNumId w:val="35"/>
  </w:num>
  <w:num w:numId="4" w16cid:durableId="340738558">
    <w:abstractNumId w:val="53"/>
  </w:num>
  <w:num w:numId="5" w16cid:durableId="17321954">
    <w:abstractNumId w:val="13"/>
  </w:num>
  <w:num w:numId="6" w16cid:durableId="1308123715">
    <w:abstractNumId w:val="36"/>
  </w:num>
  <w:num w:numId="7" w16cid:durableId="1045914191">
    <w:abstractNumId w:val="33"/>
  </w:num>
  <w:num w:numId="8" w16cid:durableId="2030599391">
    <w:abstractNumId w:val="19"/>
  </w:num>
  <w:num w:numId="9" w16cid:durableId="1771387915">
    <w:abstractNumId w:val="48"/>
  </w:num>
  <w:num w:numId="10" w16cid:durableId="1800299561">
    <w:abstractNumId w:val="10"/>
  </w:num>
  <w:num w:numId="11" w16cid:durableId="1326860974">
    <w:abstractNumId w:val="2"/>
  </w:num>
  <w:num w:numId="12" w16cid:durableId="320087595">
    <w:abstractNumId w:val="15"/>
  </w:num>
  <w:num w:numId="13" w16cid:durableId="1688365639">
    <w:abstractNumId w:val="41"/>
  </w:num>
  <w:num w:numId="14" w16cid:durableId="5405845">
    <w:abstractNumId w:val="44"/>
  </w:num>
  <w:num w:numId="15" w16cid:durableId="1766607461">
    <w:abstractNumId w:val="51"/>
  </w:num>
  <w:num w:numId="16" w16cid:durableId="172453337">
    <w:abstractNumId w:val="50"/>
  </w:num>
  <w:num w:numId="17" w16cid:durableId="2028016618">
    <w:abstractNumId w:val="42"/>
  </w:num>
  <w:num w:numId="18" w16cid:durableId="1146358485">
    <w:abstractNumId w:val="49"/>
  </w:num>
  <w:num w:numId="19" w16cid:durableId="1006975486">
    <w:abstractNumId w:val="39"/>
  </w:num>
  <w:num w:numId="20" w16cid:durableId="891112410">
    <w:abstractNumId w:val="38"/>
  </w:num>
  <w:num w:numId="21" w16cid:durableId="656307314">
    <w:abstractNumId w:val="43"/>
  </w:num>
  <w:num w:numId="22" w16cid:durableId="871460168">
    <w:abstractNumId w:val="37"/>
  </w:num>
  <w:num w:numId="23" w16cid:durableId="305746529">
    <w:abstractNumId w:val="46"/>
  </w:num>
  <w:num w:numId="24" w16cid:durableId="494418118">
    <w:abstractNumId w:val="21"/>
  </w:num>
  <w:num w:numId="25" w16cid:durableId="1587617617">
    <w:abstractNumId w:val="45"/>
  </w:num>
  <w:num w:numId="26" w16cid:durableId="882252987">
    <w:abstractNumId w:val="28"/>
  </w:num>
  <w:num w:numId="27" w16cid:durableId="529295170">
    <w:abstractNumId w:val="9"/>
  </w:num>
  <w:num w:numId="28" w16cid:durableId="1571378801">
    <w:abstractNumId w:val="18"/>
  </w:num>
  <w:num w:numId="29" w16cid:durableId="1754544116">
    <w:abstractNumId w:val="29"/>
  </w:num>
  <w:num w:numId="30" w16cid:durableId="928462702">
    <w:abstractNumId w:val="22"/>
  </w:num>
  <w:num w:numId="31" w16cid:durableId="559099119">
    <w:abstractNumId w:val="26"/>
  </w:num>
  <w:num w:numId="32" w16cid:durableId="1770733822">
    <w:abstractNumId w:val="27"/>
  </w:num>
  <w:num w:numId="33" w16cid:durableId="421221048">
    <w:abstractNumId w:val="14"/>
  </w:num>
  <w:num w:numId="34" w16cid:durableId="204568516">
    <w:abstractNumId w:val="34"/>
  </w:num>
  <w:num w:numId="35" w16cid:durableId="1642687897">
    <w:abstractNumId w:val="32"/>
  </w:num>
  <w:num w:numId="36" w16cid:durableId="2107115163">
    <w:abstractNumId w:val="16"/>
  </w:num>
  <w:num w:numId="37" w16cid:durableId="1999189596">
    <w:abstractNumId w:val="11"/>
  </w:num>
  <w:num w:numId="38" w16cid:durableId="2080781683">
    <w:abstractNumId w:val="6"/>
  </w:num>
  <w:num w:numId="39" w16cid:durableId="272523042">
    <w:abstractNumId w:val="54"/>
  </w:num>
  <w:num w:numId="40" w16cid:durableId="1704286907">
    <w:abstractNumId w:val="7"/>
  </w:num>
  <w:num w:numId="41" w16cid:durableId="1391151310">
    <w:abstractNumId w:val="1"/>
  </w:num>
  <w:num w:numId="42" w16cid:durableId="380597465">
    <w:abstractNumId w:val="4"/>
  </w:num>
  <w:num w:numId="43" w16cid:durableId="1441992593">
    <w:abstractNumId w:val="31"/>
  </w:num>
  <w:num w:numId="44" w16cid:durableId="907809717">
    <w:abstractNumId w:val="47"/>
  </w:num>
  <w:num w:numId="45" w16cid:durableId="874851536">
    <w:abstractNumId w:val="8"/>
  </w:num>
  <w:num w:numId="46" w16cid:durableId="2091660283">
    <w:abstractNumId w:val="5"/>
  </w:num>
  <w:num w:numId="47" w16cid:durableId="558832502">
    <w:abstractNumId w:val="12"/>
  </w:num>
  <w:num w:numId="48" w16cid:durableId="1691105519">
    <w:abstractNumId w:val="30"/>
  </w:num>
  <w:num w:numId="49" w16cid:durableId="1971353618">
    <w:abstractNumId w:val="23"/>
  </w:num>
  <w:num w:numId="50" w16cid:durableId="1802577794">
    <w:abstractNumId w:val="24"/>
  </w:num>
  <w:num w:numId="51" w16cid:durableId="1064445918">
    <w:abstractNumId w:val="3"/>
  </w:num>
  <w:num w:numId="52" w16cid:durableId="1032262333">
    <w:abstractNumId w:val="40"/>
  </w:num>
  <w:num w:numId="53" w16cid:durableId="1802382613">
    <w:abstractNumId w:val="0"/>
  </w:num>
  <w:num w:numId="54" w16cid:durableId="1664316670">
    <w:abstractNumId w:val="20"/>
  </w:num>
  <w:num w:numId="55" w16cid:durableId="1230337508">
    <w:abstractNumId w:val="5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95A"/>
    <w:rsid w:val="0000081F"/>
    <w:rsid w:val="000018C0"/>
    <w:rsid w:val="00002738"/>
    <w:rsid w:val="000029EB"/>
    <w:rsid w:val="00004CE0"/>
    <w:rsid w:val="00006F99"/>
    <w:rsid w:val="000134EA"/>
    <w:rsid w:val="00013A8D"/>
    <w:rsid w:val="0001551D"/>
    <w:rsid w:val="00015A3B"/>
    <w:rsid w:val="00025D77"/>
    <w:rsid w:val="00025FE4"/>
    <w:rsid w:val="00027AA6"/>
    <w:rsid w:val="00030C5D"/>
    <w:rsid w:val="000312B4"/>
    <w:rsid w:val="0003298D"/>
    <w:rsid w:val="00035304"/>
    <w:rsid w:val="000357CF"/>
    <w:rsid w:val="00036648"/>
    <w:rsid w:val="00036C41"/>
    <w:rsid w:val="00042FF9"/>
    <w:rsid w:val="000441A8"/>
    <w:rsid w:val="00045824"/>
    <w:rsid w:val="00046A49"/>
    <w:rsid w:val="00047C76"/>
    <w:rsid w:val="00050BAE"/>
    <w:rsid w:val="000524BA"/>
    <w:rsid w:val="0005468C"/>
    <w:rsid w:val="00054ECD"/>
    <w:rsid w:val="0005521E"/>
    <w:rsid w:val="00055C81"/>
    <w:rsid w:val="00056132"/>
    <w:rsid w:val="00056ED9"/>
    <w:rsid w:val="000615B0"/>
    <w:rsid w:val="00061DD3"/>
    <w:rsid w:val="00063A4D"/>
    <w:rsid w:val="00064D00"/>
    <w:rsid w:val="00065155"/>
    <w:rsid w:val="0006592E"/>
    <w:rsid w:val="000663CD"/>
    <w:rsid w:val="00066593"/>
    <w:rsid w:val="00066C36"/>
    <w:rsid w:val="0006705B"/>
    <w:rsid w:val="00067373"/>
    <w:rsid w:val="00070843"/>
    <w:rsid w:val="00070F0F"/>
    <w:rsid w:val="00071A03"/>
    <w:rsid w:val="000721FF"/>
    <w:rsid w:val="00073788"/>
    <w:rsid w:val="000772B1"/>
    <w:rsid w:val="00077DAE"/>
    <w:rsid w:val="000804A1"/>
    <w:rsid w:val="00084797"/>
    <w:rsid w:val="00084DF9"/>
    <w:rsid w:val="00085275"/>
    <w:rsid w:val="00087F49"/>
    <w:rsid w:val="000900B6"/>
    <w:rsid w:val="000925E7"/>
    <w:rsid w:val="00092DC0"/>
    <w:rsid w:val="00095761"/>
    <w:rsid w:val="00097BDA"/>
    <w:rsid w:val="000A0CAE"/>
    <w:rsid w:val="000A37A8"/>
    <w:rsid w:val="000A56F3"/>
    <w:rsid w:val="000A5949"/>
    <w:rsid w:val="000A5FA3"/>
    <w:rsid w:val="000A71CA"/>
    <w:rsid w:val="000B04C3"/>
    <w:rsid w:val="000B1F67"/>
    <w:rsid w:val="000C2E32"/>
    <w:rsid w:val="000C3F69"/>
    <w:rsid w:val="000C4236"/>
    <w:rsid w:val="000C532A"/>
    <w:rsid w:val="000C55FB"/>
    <w:rsid w:val="000C6D95"/>
    <w:rsid w:val="000D3616"/>
    <w:rsid w:val="000D68EE"/>
    <w:rsid w:val="000D77A6"/>
    <w:rsid w:val="000E046A"/>
    <w:rsid w:val="000E1834"/>
    <w:rsid w:val="000E1C4E"/>
    <w:rsid w:val="000E30D2"/>
    <w:rsid w:val="000E39C2"/>
    <w:rsid w:val="000E6031"/>
    <w:rsid w:val="000F116D"/>
    <w:rsid w:val="000F22F9"/>
    <w:rsid w:val="000F248A"/>
    <w:rsid w:val="000F2E12"/>
    <w:rsid w:val="000F47D4"/>
    <w:rsid w:val="000F4E84"/>
    <w:rsid w:val="000F5AA3"/>
    <w:rsid w:val="000F6760"/>
    <w:rsid w:val="000F7221"/>
    <w:rsid w:val="00102815"/>
    <w:rsid w:val="0010351B"/>
    <w:rsid w:val="00111AB6"/>
    <w:rsid w:val="001128E3"/>
    <w:rsid w:val="0011387E"/>
    <w:rsid w:val="00113A98"/>
    <w:rsid w:val="00113ADA"/>
    <w:rsid w:val="001142E5"/>
    <w:rsid w:val="00114E17"/>
    <w:rsid w:val="001157E5"/>
    <w:rsid w:val="001158C0"/>
    <w:rsid w:val="001221F5"/>
    <w:rsid w:val="00125B02"/>
    <w:rsid w:val="00125BB9"/>
    <w:rsid w:val="00126382"/>
    <w:rsid w:val="0012649D"/>
    <w:rsid w:val="00130874"/>
    <w:rsid w:val="00131660"/>
    <w:rsid w:val="001337E0"/>
    <w:rsid w:val="00134D36"/>
    <w:rsid w:val="00136FF0"/>
    <w:rsid w:val="0013796B"/>
    <w:rsid w:val="00146F97"/>
    <w:rsid w:val="0015020E"/>
    <w:rsid w:val="00150FA7"/>
    <w:rsid w:val="00151BF5"/>
    <w:rsid w:val="00154A62"/>
    <w:rsid w:val="00156D3C"/>
    <w:rsid w:val="001574BE"/>
    <w:rsid w:val="00157861"/>
    <w:rsid w:val="00157B88"/>
    <w:rsid w:val="00160636"/>
    <w:rsid w:val="00160BC9"/>
    <w:rsid w:val="001622FD"/>
    <w:rsid w:val="00162A5A"/>
    <w:rsid w:val="001656BB"/>
    <w:rsid w:val="00167B73"/>
    <w:rsid w:val="00170B94"/>
    <w:rsid w:val="001721EA"/>
    <w:rsid w:val="00172960"/>
    <w:rsid w:val="00175DD7"/>
    <w:rsid w:val="001769F5"/>
    <w:rsid w:val="001776DF"/>
    <w:rsid w:val="00180335"/>
    <w:rsid w:val="00181190"/>
    <w:rsid w:val="001839B6"/>
    <w:rsid w:val="00184B45"/>
    <w:rsid w:val="0018560D"/>
    <w:rsid w:val="00185D36"/>
    <w:rsid w:val="00187666"/>
    <w:rsid w:val="00187E1F"/>
    <w:rsid w:val="00191BF2"/>
    <w:rsid w:val="0019394F"/>
    <w:rsid w:val="00193E10"/>
    <w:rsid w:val="00193F65"/>
    <w:rsid w:val="00195757"/>
    <w:rsid w:val="00196AC7"/>
    <w:rsid w:val="00197BE0"/>
    <w:rsid w:val="001A09CB"/>
    <w:rsid w:val="001A2538"/>
    <w:rsid w:val="001B0840"/>
    <w:rsid w:val="001B37EA"/>
    <w:rsid w:val="001B6C3C"/>
    <w:rsid w:val="001C0111"/>
    <w:rsid w:val="001C237F"/>
    <w:rsid w:val="001C3E6D"/>
    <w:rsid w:val="001C4E6A"/>
    <w:rsid w:val="001C4E83"/>
    <w:rsid w:val="001C5E1F"/>
    <w:rsid w:val="001C5FE1"/>
    <w:rsid w:val="001C63D3"/>
    <w:rsid w:val="001C7916"/>
    <w:rsid w:val="001D2CF4"/>
    <w:rsid w:val="001D2E5B"/>
    <w:rsid w:val="001D4200"/>
    <w:rsid w:val="001D4430"/>
    <w:rsid w:val="001D6589"/>
    <w:rsid w:val="001D721B"/>
    <w:rsid w:val="001D7532"/>
    <w:rsid w:val="001E3622"/>
    <w:rsid w:val="001E47FB"/>
    <w:rsid w:val="001E4B56"/>
    <w:rsid w:val="001E4BC8"/>
    <w:rsid w:val="001E677A"/>
    <w:rsid w:val="001E7CAB"/>
    <w:rsid w:val="001F067B"/>
    <w:rsid w:val="001F0ADD"/>
    <w:rsid w:val="001F2BC5"/>
    <w:rsid w:val="002017E3"/>
    <w:rsid w:val="00201C44"/>
    <w:rsid w:val="00201CCA"/>
    <w:rsid w:val="00202748"/>
    <w:rsid w:val="00204125"/>
    <w:rsid w:val="0020627B"/>
    <w:rsid w:val="002071DE"/>
    <w:rsid w:val="002102F9"/>
    <w:rsid w:val="0021078F"/>
    <w:rsid w:val="00213CA0"/>
    <w:rsid w:val="00213FAF"/>
    <w:rsid w:val="00220E9B"/>
    <w:rsid w:val="00221D8D"/>
    <w:rsid w:val="002227B0"/>
    <w:rsid w:val="00225D90"/>
    <w:rsid w:val="00225FC6"/>
    <w:rsid w:val="002267F4"/>
    <w:rsid w:val="002275F1"/>
    <w:rsid w:val="0023160E"/>
    <w:rsid w:val="002331D8"/>
    <w:rsid w:val="00233D89"/>
    <w:rsid w:val="0023470C"/>
    <w:rsid w:val="002350AC"/>
    <w:rsid w:val="0023676B"/>
    <w:rsid w:val="002369B4"/>
    <w:rsid w:val="00243DC3"/>
    <w:rsid w:val="002449E5"/>
    <w:rsid w:val="00253389"/>
    <w:rsid w:val="00254E82"/>
    <w:rsid w:val="00256DAB"/>
    <w:rsid w:val="00260906"/>
    <w:rsid w:val="00261954"/>
    <w:rsid w:val="00261BD3"/>
    <w:rsid w:val="00261E35"/>
    <w:rsid w:val="0026230F"/>
    <w:rsid w:val="00262C6D"/>
    <w:rsid w:val="00263781"/>
    <w:rsid w:val="002640FB"/>
    <w:rsid w:val="00267D51"/>
    <w:rsid w:val="00272329"/>
    <w:rsid w:val="002733F5"/>
    <w:rsid w:val="00274531"/>
    <w:rsid w:val="0027513B"/>
    <w:rsid w:val="00275EFF"/>
    <w:rsid w:val="00277DE2"/>
    <w:rsid w:val="0028264E"/>
    <w:rsid w:val="002844D8"/>
    <w:rsid w:val="00284806"/>
    <w:rsid w:val="00287A72"/>
    <w:rsid w:val="00290171"/>
    <w:rsid w:val="00294E24"/>
    <w:rsid w:val="002954E7"/>
    <w:rsid w:val="002A1064"/>
    <w:rsid w:val="002A1970"/>
    <w:rsid w:val="002A3F7E"/>
    <w:rsid w:val="002B133F"/>
    <w:rsid w:val="002B1D05"/>
    <w:rsid w:val="002B2C85"/>
    <w:rsid w:val="002B2EE4"/>
    <w:rsid w:val="002B321A"/>
    <w:rsid w:val="002B5C83"/>
    <w:rsid w:val="002C1B6E"/>
    <w:rsid w:val="002C25D9"/>
    <w:rsid w:val="002C2AD6"/>
    <w:rsid w:val="002C5364"/>
    <w:rsid w:val="002C53E2"/>
    <w:rsid w:val="002D328A"/>
    <w:rsid w:val="002E145C"/>
    <w:rsid w:val="002E2BCB"/>
    <w:rsid w:val="002F02DF"/>
    <w:rsid w:val="002F0A9F"/>
    <w:rsid w:val="002F13FD"/>
    <w:rsid w:val="002F1546"/>
    <w:rsid w:val="002F3175"/>
    <w:rsid w:val="002F43F8"/>
    <w:rsid w:val="002F6294"/>
    <w:rsid w:val="002F6F51"/>
    <w:rsid w:val="00300451"/>
    <w:rsid w:val="00302D4C"/>
    <w:rsid w:val="00303786"/>
    <w:rsid w:val="00303AFD"/>
    <w:rsid w:val="00304A17"/>
    <w:rsid w:val="003061B8"/>
    <w:rsid w:val="003073BB"/>
    <w:rsid w:val="003073E8"/>
    <w:rsid w:val="00311ABF"/>
    <w:rsid w:val="00311BE7"/>
    <w:rsid w:val="00312376"/>
    <w:rsid w:val="00313D9F"/>
    <w:rsid w:val="00315273"/>
    <w:rsid w:val="00315367"/>
    <w:rsid w:val="00315982"/>
    <w:rsid w:val="00317076"/>
    <w:rsid w:val="0032028D"/>
    <w:rsid w:val="00320A11"/>
    <w:rsid w:val="00320C5C"/>
    <w:rsid w:val="0032440F"/>
    <w:rsid w:val="00324C60"/>
    <w:rsid w:val="00325233"/>
    <w:rsid w:val="00326064"/>
    <w:rsid w:val="00326301"/>
    <w:rsid w:val="00326BB4"/>
    <w:rsid w:val="0033002E"/>
    <w:rsid w:val="0033106A"/>
    <w:rsid w:val="00331378"/>
    <w:rsid w:val="003317D6"/>
    <w:rsid w:val="003317F3"/>
    <w:rsid w:val="003323C8"/>
    <w:rsid w:val="00332CE9"/>
    <w:rsid w:val="00332D83"/>
    <w:rsid w:val="00333822"/>
    <w:rsid w:val="0033564C"/>
    <w:rsid w:val="00336437"/>
    <w:rsid w:val="0034020C"/>
    <w:rsid w:val="00341857"/>
    <w:rsid w:val="003422A7"/>
    <w:rsid w:val="0034397E"/>
    <w:rsid w:val="00347496"/>
    <w:rsid w:val="0035176A"/>
    <w:rsid w:val="00351B0C"/>
    <w:rsid w:val="00355D4F"/>
    <w:rsid w:val="00355DA5"/>
    <w:rsid w:val="00360AB9"/>
    <w:rsid w:val="00364149"/>
    <w:rsid w:val="0036479F"/>
    <w:rsid w:val="003651E1"/>
    <w:rsid w:val="00366DEE"/>
    <w:rsid w:val="00367604"/>
    <w:rsid w:val="00367CBC"/>
    <w:rsid w:val="00373215"/>
    <w:rsid w:val="00373569"/>
    <w:rsid w:val="00375AE4"/>
    <w:rsid w:val="00375E72"/>
    <w:rsid w:val="00377152"/>
    <w:rsid w:val="00380F21"/>
    <w:rsid w:val="003815A0"/>
    <w:rsid w:val="0038271A"/>
    <w:rsid w:val="00385031"/>
    <w:rsid w:val="0038641A"/>
    <w:rsid w:val="003872D1"/>
    <w:rsid w:val="00390784"/>
    <w:rsid w:val="00391375"/>
    <w:rsid w:val="00395B53"/>
    <w:rsid w:val="003A080C"/>
    <w:rsid w:val="003A14B7"/>
    <w:rsid w:val="003A30D3"/>
    <w:rsid w:val="003A4845"/>
    <w:rsid w:val="003B1191"/>
    <w:rsid w:val="003B1334"/>
    <w:rsid w:val="003B1B06"/>
    <w:rsid w:val="003B503F"/>
    <w:rsid w:val="003B508A"/>
    <w:rsid w:val="003B62E4"/>
    <w:rsid w:val="003B6E90"/>
    <w:rsid w:val="003B7AB2"/>
    <w:rsid w:val="003C5568"/>
    <w:rsid w:val="003C72D8"/>
    <w:rsid w:val="003C7C74"/>
    <w:rsid w:val="003D0D68"/>
    <w:rsid w:val="003D147B"/>
    <w:rsid w:val="003D1EA2"/>
    <w:rsid w:val="003D4D6A"/>
    <w:rsid w:val="003D57C3"/>
    <w:rsid w:val="003E146C"/>
    <w:rsid w:val="003E1C09"/>
    <w:rsid w:val="003E59F6"/>
    <w:rsid w:val="003E62DA"/>
    <w:rsid w:val="003E64D1"/>
    <w:rsid w:val="003F0B85"/>
    <w:rsid w:val="003F2838"/>
    <w:rsid w:val="003F39B2"/>
    <w:rsid w:val="003F4E7E"/>
    <w:rsid w:val="003F546E"/>
    <w:rsid w:val="003F550D"/>
    <w:rsid w:val="003F6739"/>
    <w:rsid w:val="0040192D"/>
    <w:rsid w:val="00402027"/>
    <w:rsid w:val="00402498"/>
    <w:rsid w:val="00402C06"/>
    <w:rsid w:val="00406163"/>
    <w:rsid w:val="00407D3F"/>
    <w:rsid w:val="004161DB"/>
    <w:rsid w:val="00421370"/>
    <w:rsid w:val="00421F14"/>
    <w:rsid w:val="004262B5"/>
    <w:rsid w:val="004271A4"/>
    <w:rsid w:val="004324F3"/>
    <w:rsid w:val="00436726"/>
    <w:rsid w:val="00436C90"/>
    <w:rsid w:val="0044361D"/>
    <w:rsid w:val="004463A0"/>
    <w:rsid w:val="0045061F"/>
    <w:rsid w:val="00452D93"/>
    <w:rsid w:val="0045357E"/>
    <w:rsid w:val="00455C08"/>
    <w:rsid w:val="00460828"/>
    <w:rsid w:val="004635B0"/>
    <w:rsid w:val="00463FE4"/>
    <w:rsid w:val="00464575"/>
    <w:rsid w:val="00464B41"/>
    <w:rsid w:val="00465EE9"/>
    <w:rsid w:val="00465F6A"/>
    <w:rsid w:val="00466B20"/>
    <w:rsid w:val="004710AA"/>
    <w:rsid w:val="004728FD"/>
    <w:rsid w:val="00473EB4"/>
    <w:rsid w:val="00474E15"/>
    <w:rsid w:val="00474F09"/>
    <w:rsid w:val="004753DE"/>
    <w:rsid w:val="00476665"/>
    <w:rsid w:val="0048044D"/>
    <w:rsid w:val="004804FE"/>
    <w:rsid w:val="00483FC6"/>
    <w:rsid w:val="0048602C"/>
    <w:rsid w:val="004936F1"/>
    <w:rsid w:val="004938A0"/>
    <w:rsid w:val="00494610"/>
    <w:rsid w:val="0049541B"/>
    <w:rsid w:val="00495F98"/>
    <w:rsid w:val="0049798D"/>
    <w:rsid w:val="004A39F9"/>
    <w:rsid w:val="004B052B"/>
    <w:rsid w:val="004B1025"/>
    <w:rsid w:val="004B4856"/>
    <w:rsid w:val="004B6AD2"/>
    <w:rsid w:val="004B7DEB"/>
    <w:rsid w:val="004C1236"/>
    <w:rsid w:val="004C1A55"/>
    <w:rsid w:val="004C4D74"/>
    <w:rsid w:val="004C56BA"/>
    <w:rsid w:val="004C5A72"/>
    <w:rsid w:val="004C5DD0"/>
    <w:rsid w:val="004D34E3"/>
    <w:rsid w:val="004D5C0B"/>
    <w:rsid w:val="004E0824"/>
    <w:rsid w:val="004E1A01"/>
    <w:rsid w:val="004E40A8"/>
    <w:rsid w:val="004E4D98"/>
    <w:rsid w:val="004E6FD2"/>
    <w:rsid w:val="004E77CA"/>
    <w:rsid w:val="004F1C17"/>
    <w:rsid w:val="004F2E5E"/>
    <w:rsid w:val="004F3ADD"/>
    <w:rsid w:val="004F66BB"/>
    <w:rsid w:val="004F6955"/>
    <w:rsid w:val="00500D75"/>
    <w:rsid w:val="00502452"/>
    <w:rsid w:val="00503494"/>
    <w:rsid w:val="00503717"/>
    <w:rsid w:val="00503B4B"/>
    <w:rsid w:val="005050C1"/>
    <w:rsid w:val="005060C1"/>
    <w:rsid w:val="005103E2"/>
    <w:rsid w:val="0051091C"/>
    <w:rsid w:val="00510BA9"/>
    <w:rsid w:val="005115F8"/>
    <w:rsid w:val="00511C7D"/>
    <w:rsid w:val="00512B5D"/>
    <w:rsid w:val="00513C09"/>
    <w:rsid w:val="00516DB8"/>
    <w:rsid w:val="005174A4"/>
    <w:rsid w:val="005175BC"/>
    <w:rsid w:val="005225C9"/>
    <w:rsid w:val="00522731"/>
    <w:rsid w:val="00522B34"/>
    <w:rsid w:val="005249D8"/>
    <w:rsid w:val="00525E18"/>
    <w:rsid w:val="0052699E"/>
    <w:rsid w:val="00527678"/>
    <w:rsid w:val="005303CF"/>
    <w:rsid w:val="00534834"/>
    <w:rsid w:val="005354C2"/>
    <w:rsid w:val="00536D65"/>
    <w:rsid w:val="005406AB"/>
    <w:rsid w:val="00542184"/>
    <w:rsid w:val="0054299D"/>
    <w:rsid w:val="00544786"/>
    <w:rsid w:val="00544B61"/>
    <w:rsid w:val="00544C0D"/>
    <w:rsid w:val="00544CB5"/>
    <w:rsid w:val="00546232"/>
    <w:rsid w:val="00547180"/>
    <w:rsid w:val="00550EAA"/>
    <w:rsid w:val="00552A25"/>
    <w:rsid w:val="00553358"/>
    <w:rsid w:val="00560BE2"/>
    <w:rsid w:val="00564091"/>
    <w:rsid w:val="00564758"/>
    <w:rsid w:val="00565244"/>
    <w:rsid w:val="00566A3B"/>
    <w:rsid w:val="00573064"/>
    <w:rsid w:val="00573156"/>
    <w:rsid w:val="00573A8C"/>
    <w:rsid w:val="0057418B"/>
    <w:rsid w:val="00574B00"/>
    <w:rsid w:val="005770DA"/>
    <w:rsid w:val="005776F2"/>
    <w:rsid w:val="00577FD3"/>
    <w:rsid w:val="00583670"/>
    <w:rsid w:val="0058560D"/>
    <w:rsid w:val="0058603E"/>
    <w:rsid w:val="0059360D"/>
    <w:rsid w:val="005977BF"/>
    <w:rsid w:val="00597922"/>
    <w:rsid w:val="005A19BC"/>
    <w:rsid w:val="005A200A"/>
    <w:rsid w:val="005A2CD9"/>
    <w:rsid w:val="005A382D"/>
    <w:rsid w:val="005B307A"/>
    <w:rsid w:val="005B48A2"/>
    <w:rsid w:val="005B689B"/>
    <w:rsid w:val="005C13E8"/>
    <w:rsid w:val="005C1C16"/>
    <w:rsid w:val="005C368A"/>
    <w:rsid w:val="005C5608"/>
    <w:rsid w:val="005C5AD9"/>
    <w:rsid w:val="005C61DC"/>
    <w:rsid w:val="005C70DF"/>
    <w:rsid w:val="005D5B3E"/>
    <w:rsid w:val="005D6EC0"/>
    <w:rsid w:val="005D7DFD"/>
    <w:rsid w:val="005E1783"/>
    <w:rsid w:val="005E2345"/>
    <w:rsid w:val="005E2704"/>
    <w:rsid w:val="005E2DD3"/>
    <w:rsid w:val="005E524A"/>
    <w:rsid w:val="005E6D3F"/>
    <w:rsid w:val="005E771D"/>
    <w:rsid w:val="005F0058"/>
    <w:rsid w:val="005F0E4D"/>
    <w:rsid w:val="005F1BA9"/>
    <w:rsid w:val="005F371E"/>
    <w:rsid w:val="005F5F45"/>
    <w:rsid w:val="005F678A"/>
    <w:rsid w:val="005F7335"/>
    <w:rsid w:val="005F78A8"/>
    <w:rsid w:val="005F7BF8"/>
    <w:rsid w:val="00600FB4"/>
    <w:rsid w:val="00605190"/>
    <w:rsid w:val="00605D85"/>
    <w:rsid w:val="006070D2"/>
    <w:rsid w:val="00610632"/>
    <w:rsid w:val="00613891"/>
    <w:rsid w:val="00615E29"/>
    <w:rsid w:val="00615EE2"/>
    <w:rsid w:val="006161FA"/>
    <w:rsid w:val="006222DC"/>
    <w:rsid w:val="006225A7"/>
    <w:rsid w:val="00623168"/>
    <w:rsid w:val="0062370B"/>
    <w:rsid w:val="00623F2C"/>
    <w:rsid w:val="006269DB"/>
    <w:rsid w:val="00626FBA"/>
    <w:rsid w:val="0063516D"/>
    <w:rsid w:val="006411DD"/>
    <w:rsid w:val="0064234F"/>
    <w:rsid w:val="00644C8C"/>
    <w:rsid w:val="0065083C"/>
    <w:rsid w:val="006516E4"/>
    <w:rsid w:val="00655CF7"/>
    <w:rsid w:val="00656AB5"/>
    <w:rsid w:val="00662602"/>
    <w:rsid w:val="00663C48"/>
    <w:rsid w:val="00663F04"/>
    <w:rsid w:val="00665EA1"/>
    <w:rsid w:val="0066715F"/>
    <w:rsid w:val="0066776D"/>
    <w:rsid w:val="006677B2"/>
    <w:rsid w:val="00667A2D"/>
    <w:rsid w:val="00670996"/>
    <w:rsid w:val="00671197"/>
    <w:rsid w:val="0067160F"/>
    <w:rsid w:val="00672DC0"/>
    <w:rsid w:val="00682DDA"/>
    <w:rsid w:val="0068345F"/>
    <w:rsid w:val="00684796"/>
    <w:rsid w:val="006849F8"/>
    <w:rsid w:val="00684DD3"/>
    <w:rsid w:val="0069137B"/>
    <w:rsid w:val="00693092"/>
    <w:rsid w:val="006930DB"/>
    <w:rsid w:val="00697E4E"/>
    <w:rsid w:val="006A295A"/>
    <w:rsid w:val="006A476A"/>
    <w:rsid w:val="006A4962"/>
    <w:rsid w:val="006A5C49"/>
    <w:rsid w:val="006A6302"/>
    <w:rsid w:val="006A7479"/>
    <w:rsid w:val="006B1BC0"/>
    <w:rsid w:val="006B6D12"/>
    <w:rsid w:val="006B77F2"/>
    <w:rsid w:val="006C1F81"/>
    <w:rsid w:val="006C4CE9"/>
    <w:rsid w:val="006C5543"/>
    <w:rsid w:val="006C75BE"/>
    <w:rsid w:val="006C79C3"/>
    <w:rsid w:val="006C7D68"/>
    <w:rsid w:val="006D49E9"/>
    <w:rsid w:val="006D5C4F"/>
    <w:rsid w:val="006D7F8E"/>
    <w:rsid w:val="006E4D3D"/>
    <w:rsid w:val="006E782C"/>
    <w:rsid w:val="006E7A6F"/>
    <w:rsid w:val="006F14F2"/>
    <w:rsid w:val="006F490F"/>
    <w:rsid w:val="006F5176"/>
    <w:rsid w:val="006F6875"/>
    <w:rsid w:val="007027DD"/>
    <w:rsid w:val="007058BF"/>
    <w:rsid w:val="007060ED"/>
    <w:rsid w:val="00706748"/>
    <w:rsid w:val="00711E2B"/>
    <w:rsid w:val="00711E60"/>
    <w:rsid w:val="00713021"/>
    <w:rsid w:val="0071405B"/>
    <w:rsid w:val="00714679"/>
    <w:rsid w:val="007159D4"/>
    <w:rsid w:val="00722B15"/>
    <w:rsid w:val="00723AD9"/>
    <w:rsid w:val="00724321"/>
    <w:rsid w:val="00733613"/>
    <w:rsid w:val="00734C18"/>
    <w:rsid w:val="00737FB8"/>
    <w:rsid w:val="00740FD3"/>
    <w:rsid w:val="00756ADE"/>
    <w:rsid w:val="00757999"/>
    <w:rsid w:val="00764119"/>
    <w:rsid w:val="007642DF"/>
    <w:rsid w:val="00765C5F"/>
    <w:rsid w:val="00770B32"/>
    <w:rsid w:val="00770DB1"/>
    <w:rsid w:val="007716EF"/>
    <w:rsid w:val="00771E46"/>
    <w:rsid w:val="00773782"/>
    <w:rsid w:val="0078327E"/>
    <w:rsid w:val="007844D1"/>
    <w:rsid w:val="00784D8F"/>
    <w:rsid w:val="007857F3"/>
    <w:rsid w:val="00786A80"/>
    <w:rsid w:val="00790EA4"/>
    <w:rsid w:val="0079142D"/>
    <w:rsid w:val="00791C46"/>
    <w:rsid w:val="00791E3B"/>
    <w:rsid w:val="007940F1"/>
    <w:rsid w:val="00795D96"/>
    <w:rsid w:val="00796A12"/>
    <w:rsid w:val="007A0C37"/>
    <w:rsid w:val="007A2652"/>
    <w:rsid w:val="007A3079"/>
    <w:rsid w:val="007A4AB4"/>
    <w:rsid w:val="007A4D00"/>
    <w:rsid w:val="007A4D42"/>
    <w:rsid w:val="007A7557"/>
    <w:rsid w:val="007B0FF4"/>
    <w:rsid w:val="007B3547"/>
    <w:rsid w:val="007B3F55"/>
    <w:rsid w:val="007B4330"/>
    <w:rsid w:val="007B5005"/>
    <w:rsid w:val="007B72F2"/>
    <w:rsid w:val="007B7C14"/>
    <w:rsid w:val="007C1135"/>
    <w:rsid w:val="007C1D14"/>
    <w:rsid w:val="007C1DCA"/>
    <w:rsid w:val="007C43AD"/>
    <w:rsid w:val="007C6533"/>
    <w:rsid w:val="007C6BC9"/>
    <w:rsid w:val="007C6D60"/>
    <w:rsid w:val="007D0258"/>
    <w:rsid w:val="007D1DD1"/>
    <w:rsid w:val="007D2D68"/>
    <w:rsid w:val="007D2ED3"/>
    <w:rsid w:val="007D6836"/>
    <w:rsid w:val="007E0074"/>
    <w:rsid w:val="007E01A6"/>
    <w:rsid w:val="007E2D59"/>
    <w:rsid w:val="007E3624"/>
    <w:rsid w:val="007E71A8"/>
    <w:rsid w:val="007E71C4"/>
    <w:rsid w:val="007E75A1"/>
    <w:rsid w:val="007F43B4"/>
    <w:rsid w:val="007F56CA"/>
    <w:rsid w:val="007F7061"/>
    <w:rsid w:val="00800657"/>
    <w:rsid w:val="00803DCB"/>
    <w:rsid w:val="00806394"/>
    <w:rsid w:val="00807902"/>
    <w:rsid w:val="00814A32"/>
    <w:rsid w:val="008167E5"/>
    <w:rsid w:val="00817C72"/>
    <w:rsid w:val="008223B4"/>
    <w:rsid w:val="00822B66"/>
    <w:rsid w:val="00824BF0"/>
    <w:rsid w:val="00827551"/>
    <w:rsid w:val="0083065D"/>
    <w:rsid w:val="00831677"/>
    <w:rsid w:val="00832912"/>
    <w:rsid w:val="00832A9F"/>
    <w:rsid w:val="008352F4"/>
    <w:rsid w:val="008410FA"/>
    <w:rsid w:val="008416D3"/>
    <w:rsid w:val="00844BB8"/>
    <w:rsid w:val="008450F9"/>
    <w:rsid w:val="00845469"/>
    <w:rsid w:val="00845CAB"/>
    <w:rsid w:val="00847ECC"/>
    <w:rsid w:val="008527AB"/>
    <w:rsid w:val="00855140"/>
    <w:rsid w:val="00861D07"/>
    <w:rsid w:val="00865276"/>
    <w:rsid w:val="008661B2"/>
    <w:rsid w:val="008678D6"/>
    <w:rsid w:val="00872A45"/>
    <w:rsid w:val="008731FE"/>
    <w:rsid w:val="008733E3"/>
    <w:rsid w:val="00873C42"/>
    <w:rsid w:val="00875D9C"/>
    <w:rsid w:val="00876863"/>
    <w:rsid w:val="00883A74"/>
    <w:rsid w:val="00887B5B"/>
    <w:rsid w:val="0089167A"/>
    <w:rsid w:val="00893B88"/>
    <w:rsid w:val="00897103"/>
    <w:rsid w:val="00897BBA"/>
    <w:rsid w:val="008A4488"/>
    <w:rsid w:val="008A4BA4"/>
    <w:rsid w:val="008A5658"/>
    <w:rsid w:val="008A677F"/>
    <w:rsid w:val="008B0A7B"/>
    <w:rsid w:val="008B18E0"/>
    <w:rsid w:val="008B1BF7"/>
    <w:rsid w:val="008B2501"/>
    <w:rsid w:val="008B45A2"/>
    <w:rsid w:val="008B61A0"/>
    <w:rsid w:val="008B7104"/>
    <w:rsid w:val="008B76F9"/>
    <w:rsid w:val="008B7A8B"/>
    <w:rsid w:val="008C12C5"/>
    <w:rsid w:val="008C2A3D"/>
    <w:rsid w:val="008C3067"/>
    <w:rsid w:val="008C309B"/>
    <w:rsid w:val="008C7868"/>
    <w:rsid w:val="008D0B8F"/>
    <w:rsid w:val="008D1C3C"/>
    <w:rsid w:val="008D3691"/>
    <w:rsid w:val="008D44F2"/>
    <w:rsid w:val="008E0333"/>
    <w:rsid w:val="008E1A8E"/>
    <w:rsid w:val="008E453A"/>
    <w:rsid w:val="008E5CDC"/>
    <w:rsid w:val="008F2102"/>
    <w:rsid w:val="008F4517"/>
    <w:rsid w:val="008F5269"/>
    <w:rsid w:val="008F5771"/>
    <w:rsid w:val="008F709A"/>
    <w:rsid w:val="00902CB1"/>
    <w:rsid w:val="00904DC9"/>
    <w:rsid w:val="00905D0F"/>
    <w:rsid w:val="00910439"/>
    <w:rsid w:val="00910E78"/>
    <w:rsid w:val="009163A9"/>
    <w:rsid w:val="0091770D"/>
    <w:rsid w:val="009223C0"/>
    <w:rsid w:val="00922E93"/>
    <w:rsid w:val="00923A33"/>
    <w:rsid w:val="00925029"/>
    <w:rsid w:val="009302D4"/>
    <w:rsid w:val="00932503"/>
    <w:rsid w:val="00934A40"/>
    <w:rsid w:val="00934AFC"/>
    <w:rsid w:val="00937280"/>
    <w:rsid w:val="00937AC2"/>
    <w:rsid w:val="00937EC6"/>
    <w:rsid w:val="0094149F"/>
    <w:rsid w:val="00941912"/>
    <w:rsid w:val="00942F43"/>
    <w:rsid w:val="00943048"/>
    <w:rsid w:val="00947B31"/>
    <w:rsid w:val="009515F8"/>
    <w:rsid w:val="00956154"/>
    <w:rsid w:val="0095622A"/>
    <w:rsid w:val="00956589"/>
    <w:rsid w:val="009571D2"/>
    <w:rsid w:val="009572DA"/>
    <w:rsid w:val="00957650"/>
    <w:rsid w:val="00957977"/>
    <w:rsid w:val="00957E6A"/>
    <w:rsid w:val="00960338"/>
    <w:rsid w:val="00960642"/>
    <w:rsid w:val="00964DAD"/>
    <w:rsid w:val="00966316"/>
    <w:rsid w:val="00966419"/>
    <w:rsid w:val="009668E6"/>
    <w:rsid w:val="00966E7C"/>
    <w:rsid w:val="009670EB"/>
    <w:rsid w:val="00977C0B"/>
    <w:rsid w:val="0098675E"/>
    <w:rsid w:val="009869EB"/>
    <w:rsid w:val="009870FD"/>
    <w:rsid w:val="009912AA"/>
    <w:rsid w:val="009924F1"/>
    <w:rsid w:val="00992A48"/>
    <w:rsid w:val="00993073"/>
    <w:rsid w:val="00995A17"/>
    <w:rsid w:val="00996EA4"/>
    <w:rsid w:val="00997218"/>
    <w:rsid w:val="009A0B05"/>
    <w:rsid w:val="009A247D"/>
    <w:rsid w:val="009A471E"/>
    <w:rsid w:val="009A5407"/>
    <w:rsid w:val="009A6539"/>
    <w:rsid w:val="009A77F7"/>
    <w:rsid w:val="009B2C81"/>
    <w:rsid w:val="009B450C"/>
    <w:rsid w:val="009B5E25"/>
    <w:rsid w:val="009C0F5C"/>
    <w:rsid w:val="009C4A2B"/>
    <w:rsid w:val="009C51A7"/>
    <w:rsid w:val="009C52E1"/>
    <w:rsid w:val="009C5F84"/>
    <w:rsid w:val="009C6D90"/>
    <w:rsid w:val="009C7822"/>
    <w:rsid w:val="009C7906"/>
    <w:rsid w:val="009D16E7"/>
    <w:rsid w:val="009D26A0"/>
    <w:rsid w:val="009D32F3"/>
    <w:rsid w:val="009D555E"/>
    <w:rsid w:val="009D593B"/>
    <w:rsid w:val="009E1621"/>
    <w:rsid w:val="009E2F73"/>
    <w:rsid w:val="009E36A3"/>
    <w:rsid w:val="009F35EF"/>
    <w:rsid w:val="009F361A"/>
    <w:rsid w:val="009F5D39"/>
    <w:rsid w:val="00A0209F"/>
    <w:rsid w:val="00A035E2"/>
    <w:rsid w:val="00A0534F"/>
    <w:rsid w:val="00A1149C"/>
    <w:rsid w:val="00A11A1B"/>
    <w:rsid w:val="00A11CFC"/>
    <w:rsid w:val="00A12800"/>
    <w:rsid w:val="00A12B43"/>
    <w:rsid w:val="00A12FC2"/>
    <w:rsid w:val="00A14B4B"/>
    <w:rsid w:val="00A15A70"/>
    <w:rsid w:val="00A15C4E"/>
    <w:rsid w:val="00A16378"/>
    <w:rsid w:val="00A16824"/>
    <w:rsid w:val="00A21030"/>
    <w:rsid w:val="00A216DF"/>
    <w:rsid w:val="00A2252D"/>
    <w:rsid w:val="00A249C6"/>
    <w:rsid w:val="00A25BC0"/>
    <w:rsid w:val="00A26F92"/>
    <w:rsid w:val="00A3108A"/>
    <w:rsid w:val="00A337D0"/>
    <w:rsid w:val="00A3633B"/>
    <w:rsid w:val="00A363DF"/>
    <w:rsid w:val="00A37623"/>
    <w:rsid w:val="00A41B0E"/>
    <w:rsid w:val="00A45F53"/>
    <w:rsid w:val="00A50D3F"/>
    <w:rsid w:val="00A53C33"/>
    <w:rsid w:val="00A54A48"/>
    <w:rsid w:val="00A55627"/>
    <w:rsid w:val="00A56CDB"/>
    <w:rsid w:val="00A61BE7"/>
    <w:rsid w:val="00A63664"/>
    <w:rsid w:val="00A64B72"/>
    <w:rsid w:val="00A651A9"/>
    <w:rsid w:val="00A7036B"/>
    <w:rsid w:val="00A7069A"/>
    <w:rsid w:val="00A714CD"/>
    <w:rsid w:val="00A7235E"/>
    <w:rsid w:val="00A72FCB"/>
    <w:rsid w:val="00A750C1"/>
    <w:rsid w:val="00A755DF"/>
    <w:rsid w:val="00A75BC5"/>
    <w:rsid w:val="00A7629A"/>
    <w:rsid w:val="00A80A0C"/>
    <w:rsid w:val="00A82532"/>
    <w:rsid w:val="00A87A9A"/>
    <w:rsid w:val="00A92A43"/>
    <w:rsid w:val="00A92DAE"/>
    <w:rsid w:val="00A92E0E"/>
    <w:rsid w:val="00A94586"/>
    <w:rsid w:val="00A95F83"/>
    <w:rsid w:val="00A96083"/>
    <w:rsid w:val="00A9660A"/>
    <w:rsid w:val="00AA198A"/>
    <w:rsid w:val="00AA319F"/>
    <w:rsid w:val="00AA3C93"/>
    <w:rsid w:val="00AA5120"/>
    <w:rsid w:val="00AA6277"/>
    <w:rsid w:val="00AA7BCB"/>
    <w:rsid w:val="00AB08C9"/>
    <w:rsid w:val="00AB19F1"/>
    <w:rsid w:val="00AB1C2F"/>
    <w:rsid w:val="00AB3925"/>
    <w:rsid w:val="00AB64A4"/>
    <w:rsid w:val="00AB7984"/>
    <w:rsid w:val="00AC56EE"/>
    <w:rsid w:val="00AC66F9"/>
    <w:rsid w:val="00AD0527"/>
    <w:rsid w:val="00AD2A13"/>
    <w:rsid w:val="00AD3602"/>
    <w:rsid w:val="00AD771F"/>
    <w:rsid w:val="00AD7E07"/>
    <w:rsid w:val="00AD7EB1"/>
    <w:rsid w:val="00AE24D6"/>
    <w:rsid w:val="00AE29C7"/>
    <w:rsid w:val="00AE3040"/>
    <w:rsid w:val="00AE732D"/>
    <w:rsid w:val="00AF0560"/>
    <w:rsid w:val="00AF1694"/>
    <w:rsid w:val="00AF1DDA"/>
    <w:rsid w:val="00AF224E"/>
    <w:rsid w:val="00AF2570"/>
    <w:rsid w:val="00AF52D9"/>
    <w:rsid w:val="00AF64AA"/>
    <w:rsid w:val="00AF7BC3"/>
    <w:rsid w:val="00B02FC4"/>
    <w:rsid w:val="00B04BA3"/>
    <w:rsid w:val="00B05A0F"/>
    <w:rsid w:val="00B05F34"/>
    <w:rsid w:val="00B075C8"/>
    <w:rsid w:val="00B124A2"/>
    <w:rsid w:val="00B12BA1"/>
    <w:rsid w:val="00B166B0"/>
    <w:rsid w:val="00B1749E"/>
    <w:rsid w:val="00B210DC"/>
    <w:rsid w:val="00B22D55"/>
    <w:rsid w:val="00B22FAF"/>
    <w:rsid w:val="00B24D68"/>
    <w:rsid w:val="00B3065C"/>
    <w:rsid w:val="00B30D2B"/>
    <w:rsid w:val="00B34BA8"/>
    <w:rsid w:val="00B3782B"/>
    <w:rsid w:val="00B41775"/>
    <w:rsid w:val="00B41C98"/>
    <w:rsid w:val="00B42F17"/>
    <w:rsid w:val="00B43AE1"/>
    <w:rsid w:val="00B47C51"/>
    <w:rsid w:val="00B509FB"/>
    <w:rsid w:val="00B52C50"/>
    <w:rsid w:val="00B54217"/>
    <w:rsid w:val="00B602D2"/>
    <w:rsid w:val="00B6061B"/>
    <w:rsid w:val="00B6123E"/>
    <w:rsid w:val="00B652ED"/>
    <w:rsid w:val="00B668F8"/>
    <w:rsid w:val="00B66E22"/>
    <w:rsid w:val="00B72469"/>
    <w:rsid w:val="00B72792"/>
    <w:rsid w:val="00B72E9C"/>
    <w:rsid w:val="00B74A06"/>
    <w:rsid w:val="00B758CB"/>
    <w:rsid w:val="00B774DB"/>
    <w:rsid w:val="00B778F7"/>
    <w:rsid w:val="00B827D1"/>
    <w:rsid w:val="00B86FC7"/>
    <w:rsid w:val="00B877AF"/>
    <w:rsid w:val="00B91005"/>
    <w:rsid w:val="00B92DA2"/>
    <w:rsid w:val="00B94826"/>
    <w:rsid w:val="00B97078"/>
    <w:rsid w:val="00BA03E5"/>
    <w:rsid w:val="00BA07BD"/>
    <w:rsid w:val="00BA3607"/>
    <w:rsid w:val="00BA4559"/>
    <w:rsid w:val="00BA59AF"/>
    <w:rsid w:val="00BA5DA1"/>
    <w:rsid w:val="00BA757A"/>
    <w:rsid w:val="00BB457D"/>
    <w:rsid w:val="00BC1C36"/>
    <w:rsid w:val="00BC2DF2"/>
    <w:rsid w:val="00BC37CB"/>
    <w:rsid w:val="00BC472D"/>
    <w:rsid w:val="00BC592D"/>
    <w:rsid w:val="00BC5C97"/>
    <w:rsid w:val="00BC5DCE"/>
    <w:rsid w:val="00BC6853"/>
    <w:rsid w:val="00BC6E51"/>
    <w:rsid w:val="00BC77F3"/>
    <w:rsid w:val="00BD10E5"/>
    <w:rsid w:val="00BD34FD"/>
    <w:rsid w:val="00BD3CCE"/>
    <w:rsid w:val="00BD4A2F"/>
    <w:rsid w:val="00BD5092"/>
    <w:rsid w:val="00BD6A01"/>
    <w:rsid w:val="00BE136F"/>
    <w:rsid w:val="00BE1970"/>
    <w:rsid w:val="00BE1F11"/>
    <w:rsid w:val="00BE4033"/>
    <w:rsid w:val="00BE461F"/>
    <w:rsid w:val="00BE526E"/>
    <w:rsid w:val="00BE6B58"/>
    <w:rsid w:val="00BE7649"/>
    <w:rsid w:val="00BF0B01"/>
    <w:rsid w:val="00BF0FB5"/>
    <w:rsid w:val="00BF2A05"/>
    <w:rsid w:val="00BF2C1A"/>
    <w:rsid w:val="00BF2EB9"/>
    <w:rsid w:val="00BF4D88"/>
    <w:rsid w:val="00BF50E6"/>
    <w:rsid w:val="00BF57DA"/>
    <w:rsid w:val="00BF7320"/>
    <w:rsid w:val="00BF7781"/>
    <w:rsid w:val="00C01513"/>
    <w:rsid w:val="00C02292"/>
    <w:rsid w:val="00C07A54"/>
    <w:rsid w:val="00C07E56"/>
    <w:rsid w:val="00C11C5B"/>
    <w:rsid w:val="00C14EE5"/>
    <w:rsid w:val="00C2035D"/>
    <w:rsid w:val="00C21235"/>
    <w:rsid w:val="00C21569"/>
    <w:rsid w:val="00C224ED"/>
    <w:rsid w:val="00C2526E"/>
    <w:rsid w:val="00C26A7F"/>
    <w:rsid w:val="00C26B8D"/>
    <w:rsid w:val="00C3120E"/>
    <w:rsid w:val="00C31299"/>
    <w:rsid w:val="00C31C81"/>
    <w:rsid w:val="00C322C4"/>
    <w:rsid w:val="00C359A8"/>
    <w:rsid w:val="00C369AA"/>
    <w:rsid w:val="00C37474"/>
    <w:rsid w:val="00C4153A"/>
    <w:rsid w:val="00C4183C"/>
    <w:rsid w:val="00C423D0"/>
    <w:rsid w:val="00C43B08"/>
    <w:rsid w:val="00C503FC"/>
    <w:rsid w:val="00C51088"/>
    <w:rsid w:val="00C54296"/>
    <w:rsid w:val="00C579AF"/>
    <w:rsid w:val="00C60040"/>
    <w:rsid w:val="00C62421"/>
    <w:rsid w:val="00C62512"/>
    <w:rsid w:val="00C64BAC"/>
    <w:rsid w:val="00C65C8E"/>
    <w:rsid w:val="00C66A2B"/>
    <w:rsid w:val="00C66F13"/>
    <w:rsid w:val="00C671DC"/>
    <w:rsid w:val="00C67B61"/>
    <w:rsid w:val="00C71555"/>
    <w:rsid w:val="00C7255A"/>
    <w:rsid w:val="00C7273F"/>
    <w:rsid w:val="00C72F09"/>
    <w:rsid w:val="00C731EA"/>
    <w:rsid w:val="00C74177"/>
    <w:rsid w:val="00C76F75"/>
    <w:rsid w:val="00C775F6"/>
    <w:rsid w:val="00C776B4"/>
    <w:rsid w:val="00C77C3D"/>
    <w:rsid w:val="00C82E07"/>
    <w:rsid w:val="00C84942"/>
    <w:rsid w:val="00C85716"/>
    <w:rsid w:val="00C87F2D"/>
    <w:rsid w:val="00C91610"/>
    <w:rsid w:val="00C91EB8"/>
    <w:rsid w:val="00C9252D"/>
    <w:rsid w:val="00CA3461"/>
    <w:rsid w:val="00CA373B"/>
    <w:rsid w:val="00CA6D4C"/>
    <w:rsid w:val="00CA7867"/>
    <w:rsid w:val="00CB1F24"/>
    <w:rsid w:val="00CC1B17"/>
    <w:rsid w:val="00CC2D2E"/>
    <w:rsid w:val="00CC3123"/>
    <w:rsid w:val="00CC37BB"/>
    <w:rsid w:val="00CC4B62"/>
    <w:rsid w:val="00CC6B99"/>
    <w:rsid w:val="00CC7635"/>
    <w:rsid w:val="00CD44F1"/>
    <w:rsid w:val="00CD4BD0"/>
    <w:rsid w:val="00CD592B"/>
    <w:rsid w:val="00CD74DF"/>
    <w:rsid w:val="00CE3001"/>
    <w:rsid w:val="00CE3038"/>
    <w:rsid w:val="00CE4737"/>
    <w:rsid w:val="00CE5EED"/>
    <w:rsid w:val="00CE7D1D"/>
    <w:rsid w:val="00CF0B7C"/>
    <w:rsid w:val="00CF3323"/>
    <w:rsid w:val="00CF4B79"/>
    <w:rsid w:val="00CF4E33"/>
    <w:rsid w:val="00CF6AC5"/>
    <w:rsid w:val="00CF70AC"/>
    <w:rsid w:val="00CF7D49"/>
    <w:rsid w:val="00D00232"/>
    <w:rsid w:val="00D0091B"/>
    <w:rsid w:val="00D022C3"/>
    <w:rsid w:val="00D04503"/>
    <w:rsid w:val="00D04796"/>
    <w:rsid w:val="00D048C0"/>
    <w:rsid w:val="00D05CE5"/>
    <w:rsid w:val="00D06980"/>
    <w:rsid w:val="00D107B4"/>
    <w:rsid w:val="00D118F1"/>
    <w:rsid w:val="00D1229D"/>
    <w:rsid w:val="00D20297"/>
    <w:rsid w:val="00D20951"/>
    <w:rsid w:val="00D217E9"/>
    <w:rsid w:val="00D24A2D"/>
    <w:rsid w:val="00D260E2"/>
    <w:rsid w:val="00D2756F"/>
    <w:rsid w:val="00D32760"/>
    <w:rsid w:val="00D336F4"/>
    <w:rsid w:val="00D3393E"/>
    <w:rsid w:val="00D33B88"/>
    <w:rsid w:val="00D35A94"/>
    <w:rsid w:val="00D35C2E"/>
    <w:rsid w:val="00D368F1"/>
    <w:rsid w:val="00D37EF7"/>
    <w:rsid w:val="00D401A7"/>
    <w:rsid w:val="00D405A4"/>
    <w:rsid w:val="00D415CB"/>
    <w:rsid w:val="00D425E8"/>
    <w:rsid w:val="00D52C42"/>
    <w:rsid w:val="00D52DC8"/>
    <w:rsid w:val="00D5379F"/>
    <w:rsid w:val="00D54039"/>
    <w:rsid w:val="00D5472B"/>
    <w:rsid w:val="00D56CC8"/>
    <w:rsid w:val="00D602D2"/>
    <w:rsid w:val="00D60C97"/>
    <w:rsid w:val="00D643A0"/>
    <w:rsid w:val="00D64ED7"/>
    <w:rsid w:val="00D65116"/>
    <w:rsid w:val="00D65ECE"/>
    <w:rsid w:val="00D677EB"/>
    <w:rsid w:val="00D67BD4"/>
    <w:rsid w:val="00D67EF9"/>
    <w:rsid w:val="00D71E26"/>
    <w:rsid w:val="00D71EE0"/>
    <w:rsid w:val="00D73FFF"/>
    <w:rsid w:val="00D75915"/>
    <w:rsid w:val="00D77C37"/>
    <w:rsid w:val="00D83966"/>
    <w:rsid w:val="00D861C0"/>
    <w:rsid w:val="00D91FBC"/>
    <w:rsid w:val="00D94AD0"/>
    <w:rsid w:val="00D95456"/>
    <w:rsid w:val="00D95E7E"/>
    <w:rsid w:val="00D96824"/>
    <w:rsid w:val="00D96885"/>
    <w:rsid w:val="00D97662"/>
    <w:rsid w:val="00DA02FE"/>
    <w:rsid w:val="00DA03EF"/>
    <w:rsid w:val="00DA331C"/>
    <w:rsid w:val="00DA4C11"/>
    <w:rsid w:val="00DA58BF"/>
    <w:rsid w:val="00DB30B6"/>
    <w:rsid w:val="00DB3D39"/>
    <w:rsid w:val="00DB5DC4"/>
    <w:rsid w:val="00DB6210"/>
    <w:rsid w:val="00DB735A"/>
    <w:rsid w:val="00DC04B5"/>
    <w:rsid w:val="00DC0DFF"/>
    <w:rsid w:val="00DD211F"/>
    <w:rsid w:val="00DD2ED5"/>
    <w:rsid w:val="00DD5407"/>
    <w:rsid w:val="00DD56F6"/>
    <w:rsid w:val="00DD7C57"/>
    <w:rsid w:val="00DE024F"/>
    <w:rsid w:val="00DE0258"/>
    <w:rsid w:val="00DE03DF"/>
    <w:rsid w:val="00DE0EB8"/>
    <w:rsid w:val="00DE2CC5"/>
    <w:rsid w:val="00DE5848"/>
    <w:rsid w:val="00DE6097"/>
    <w:rsid w:val="00DE60DB"/>
    <w:rsid w:val="00DF095F"/>
    <w:rsid w:val="00DF1CC4"/>
    <w:rsid w:val="00DF2093"/>
    <w:rsid w:val="00DF3BE7"/>
    <w:rsid w:val="00DF4432"/>
    <w:rsid w:val="00DF5D60"/>
    <w:rsid w:val="00E01858"/>
    <w:rsid w:val="00E023C7"/>
    <w:rsid w:val="00E06893"/>
    <w:rsid w:val="00E0779D"/>
    <w:rsid w:val="00E07FE6"/>
    <w:rsid w:val="00E108F7"/>
    <w:rsid w:val="00E11680"/>
    <w:rsid w:val="00E126DC"/>
    <w:rsid w:val="00E128C3"/>
    <w:rsid w:val="00E1290B"/>
    <w:rsid w:val="00E20393"/>
    <w:rsid w:val="00E22223"/>
    <w:rsid w:val="00E23828"/>
    <w:rsid w:val="00E25A03"/>
    <w:rsid w:val="00E268E4"/>
    <w:rsid w:val="00E27A0B"/>
    <w:rsid w:val="00E27DCE"/>
    <w:rsid w:val="00E30B4A"/>
    <w:rsid w:val="00E37289"/>
    <w:rsid w:val="00E37CF1"/>
    <w:rsid w:val="00E40430"/>
    <w:rsid w:val="00E443F7"/>
    <w:rsid w:val="00E44C51"/>
    <w:rsid w:val="00E44F3C"/>
    <w:rsid w:val="00E52784"/>
    <w:rsid w:val="00E52785"/>
    <w:rsid w:val="00E52BB3"/>
    <w:rsid w:val="00E5477F"/>
    <w:rsid w:val="00E5600B"/>
    <w:rsid w:val="00E62C0F"/>
    <w:rsid w:val="00E71018"/>
    <w:rsid w:val="00E718D1"/>
    <w:rsid w:val="00E71A8B"/>
    <w:rsid w:val="00E73DC5"/>
    <w:rsid w:val="00E74ECE"/>
    <w:rsid w:val="00E75347"/>
    <w:rsid w:val="00E77074"/>
    <w:rsid w:val="00E77D17"/>
    <w:rsid w:val="00E8188E"/>
    <w:rsid w:val="00E81BAC"/>
    <w:rsid w:val="00E83754"/>
    <w:rsid w:val="00E85CF9"/>
    <w:rsid w:val="00E85E58"/>
    <w:rsid w:val="00E867FD"/>
    <w:rsid w:val="00E93193"/>
    <w:rsid w:val="00E947FC"/>
    <w:rsid w:val="00E94855"/>
    <w:rsid w:val="00E95346"/>
    <w:rsid w:val="00E97683"/>
    <w:rsid w:val="00E97C6C"/>
    <w:rsid w:val="00EA232C"/>
    <w:rsid w:val="00EA3091"/>
    <w:rsid w:val="00EA74E3"/>
    <w:rsid w:val="00EB02B4"/>
    <w:rsid w:val="00EB1600"/>
    <w:rsid w:val="00EB28C9"/>
    <w:rsid w:val="00EB5603"/>
    <w:rsid w:val="00EB5A47"/>
    <w:rsid w:val="00EB5E18"/>
    <w:rsid w:val="00EB7095"/>
    <w:rsid w:val="00EB719D"/>
    <w:rsid w:val="00EB7B21"/>
    <w:rsid w:val="00EC136C"/>
    <w:rsid w:val="00EC1924"/>
    <w:rsid w:val="00EC287A"/>
    <w:rsid w:val="00EC376D"/>
    <w:rsid w:val="00EC37D9"/>
    <w:rsid w:val="00EC61BB"/>
    <w:rsid w:val="00EE02D0"/>
    <w:rsid w:val="00EE438C"/>
    <w:rsid w:val="00EE45AA"/>
    <w:rsid w:val="00EF1997"/>
    <w:rsid w:val="00EF1AE5"/>
    <w:rsid w:val="00EF4205"/>
    <w:rsid w:val="00EF6F5A"/>
    <w:rsid w:val="00EF7E53"/>
    <w:rsid w:val="00F03287"/>
    <w:rsid w:val="00F032C6"/>
    <w:rsid w:val="00F03E27"/>
    <w:rsid w:val="00F06F5B"/>
    <w:rsid w:val="00F104F3"/>
    <w:rsid w:val="00F1052D"/>
    <w:rsid w:val="00F1213D"/>
    <w:rsid w:val="00F1422E"/>
    <w:rsid w:val="00F14485"/>
    <w:rsid w:val="00F15E1E"/>
    <w:rsid w:val="00F1666D"/>
    <w:rsid w:val="00F20DA2"/>
    <w:rsid w:val="00F2199B"/>
    <w:rsid w:val="00F22595"/>
    <w:rsid w:val="00F22810"/>
    <w:rsid w:val="00F22ED9"/>
    <w:rsid w:val="00F2329B"/>
    <w:rsid w:val="00F238CB"/>
    <w:rsid w:val="00F2443F"/>
    <w:rsid w:val="00F26F4D"/>
    <w:rsid w:val="00F322A1"/>
    <w:rsid w:val="00F3404C"/>
    <w:rsid w:val="00F341B5"/>
    <w:rsid w:val="00F3475B"/>
    <w:rsid w:val="00F3734D"/>
    <w:rsid w:val="00F37F07"/>
    <w:rsid w:val="00F40582"/>
    <w:rsid w:val="00F448EE"/>
    <w:rsid w:val="00F4519B"/>
    <w:rsid w:val="00F4546B"/>
    <w:rsid w:val="00F50D7B"/>
    <w:rsid w:val="00F51817"/>
    <w:rsid w:val="00F54EF0"/>
    <w:rsid w:val="00F5641A"/>
    <w:rsid w:val="00F609B8"/>
    <w:rsid w:val="00F61A7E"/>
    <w:rsid w:val="00F62297"/>
    <w:rsid w:val="00F63862"/>
    <w:rsid w:val="00F66068"/>
    <w:rsid w:val="00F71C48"/>
    <w:rsid w:val="00F72EF6"/>
    <w:rsid w:val="00F7445F"/>
    <w:rsid w:val="00F7779B"/>
    <w:rsid w:val="00F80224"/>
    <w:rsid w:val="00F820D3"/>
    <w:rsid w:val="00F83209"/>
    <w:rsid w:val="00F836D2"/>
    <w:rsid w:val="00F84D0B"/>
    <w:rsid w:val="00F8656B"/>
    <w:rsid w:val="00F90173"/>
    <w:rsid w:val="00F90525"/>
    <w:rsid w:val="00F90F21"/>
    <w:rsid w:val="00F922B9"/>
    <w:rsid w:val="00F92A2C"/>
    <w:rsid w:val="00F95910"/>
    <w:rsid w:val="00F95ECC"/>
    <w:rsid w:val="00F960A5"/>
    <w:rsid w:val="00FA05B0"/>
    <w:rsid w:val="00FA5916"/>
    <w:rsid w:val="00FA6D0F"/>
    <w:rsid w:val="00FA7DB2"/>
    <w:rsid w:val="00FB2A5F"/>
    <w:rsid w:val="00FB4A01"/>
    <w:rsid w:val="00FB5657"/>
    <w:rsid w:val="00FB7596"/>
    <w:rsid w:val="00FC1D28"/>
    <w:rsid w:val="00FC25B2"/>
    <w:rsid w:val="00FC2DBE"/>
    <w:rsid w:val="00FC4D2F"/>
    <w:rsid w:val="00FE004C"/>
    <w:rsid w:val="00FE1A11"/>
    <w:rsid w:val="00FE5EEC"/>
    <w:rsid w:val="00FE6867"/>
    <w:rsid w:val="00FE6D0E"/>
    <w:rsid w:val="00FE764C"/>
    <w:rsid w:val="00FF097F"/>
    <w:rsid w:val="00FF2E64"/>
    <w:rsid w:val="00FF30F7"/>
    <w:rsid w:val="00FF6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1A33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D00"/>
    <w:rPr>
      <w:rFonts w:ascii="Times New Roman" w:eastAsia="Times New Roman" w:hAnsi="Times New Roman" w:cs="Times New Roman"/>
    </w:rPr>
  </w:style>
  <w:style w:type="paragraph" w:styleId="Heading1">
    <w:name w:val="heading 1"/>
    <w:basedOn w:val="Normal"/>
    <w:next w:val="Normal"/>
    <w:link w:val="Heading1Char"/>
    <w:qFormat/>
    <w:rsid w:val="006A295A"/>
    <w:pPr>
      <w:keepNext/>
      <w:ind w:left="-720"/>
      <w:jc w:val="center"/>
      <w:outlineLvl w:val="0"/>
    </w:pPr>
    <w:rPr>
      <w:sz w:val="40"/>
    </w:rPr>
  </w:style>
  <w:style w:type="paragraph" w:styleId="Heading3">
    <w:name w:val="heading 3"/>
    <w:basedOn w:val="Normal"/>
    <w:next w:val="Normal"/>
    <w:link w:val="Heading3Char"/>
    <w:uiPriority w:val="9"/>
    <w:semiHidden/>
    <w:unhideWhenUsed/>
    <w:qFormat/>
    <w:rsid w:val="00CF3323"/>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7DAE"/>
    <w:rPr>
      <w:color w:val="3366FF"/>
      <w:u w:val="none"/>
    </w:rPr>
  </w:style>
  <w:style w:type="character" w:styleId="FollowedHyperlink">
    <w:name w:val="FollowedHyperlink"/>
    <w:qFormat/>
    <w:rsid w:val="00077DAE"/>
    <w:rPr>
      <w:color w:val="3366FF"/>
      <w:u w:val="none"/>
    </w:rPr>
  </w:style>
  <w:style w:type="character" w:customStyle="1" w:styleId="Heading1Char">
    <w:name w:val="Heading 1 Char"/>
    <w:basedOn w:val="DefaultParagraphFont"/>
    <w:link w:val="Heading1"/>
    <w:rsid w:val="006A295A"/>
    <w:rPr>
      <w:rFonts w:ascii="Times New Roman" w:eastAsia="Times New Roman" w:hAnsi="Times New Roman" w:cs="Times New Roman"/>
      <w:sz w:val="40"/>
    </w:rPr>
  </w:style>
  <w:style w:type="paragraph" w:customStyle="1" w:styleId="Tabletext">
    <w:name w:val="Table text"/>
    <w:basedOn w:val="Normal"/>
    <w:rsid w:val="006A295A"/>
    <w:rPr>
      <w:rFonts w:ascii="Arial" w:hAnsi="Arial"/>
      <w:sz w:val="22"/>
      <w:szCs w:val="20"/>
    </w:rPr>
  </w:style>
  <w:style w:type="paragraph" w:customStyle="1" w:styleId="FrontPageTitle">
    <w:name w:val="Front Page Title"/>
    <w:basedOn w:val="Normal"/>
    <w:rsid w:val="006A295A"/>
    <w:pPr>
      <w:spacing w:before="180"/>
      <w:jc w:val="right"/>
    </w:pPr>
    <w:rPr>
      <w:rFonts w:cs="Arial"/>
      <w:b/>
      <w:bCs/>
      <w:sz w:val="40"/>
    </w:rPr>
  </w:style>
  <w:style w:type="paragraph" w:customStyle="1" w:styleId="FrontPageSubtitle">
    <w:name w:val="Front Page Subtitle"/>
    <w:basedOn w:val="FrontPageTitle"/>
    <w:rsid w:val="006A295A"/>
    <w:rPr>
      <w:sz w:val="32"/>
    </w:rPr>
  </w:style>
  <w:style w:type="paragraph" w:styleId="FootnoteText">
    <w:name w:val="footnote text"/>
    <w:basedOn w:val="Normal"/>
    <w:link w:val="FootnoteTextChar"/>
    <w:uiPriority w:val="99"/>
    <w:rsid w:val="006A295A"/>
    <w:rPr>
      <w:sz w:val="20"/>
      <w:szCs w:val="20"/>
    </w:rPr>
  </w:style>
  <w:style w:type="character" w:customStyle="1" w:styleId="FootnoteTextChar">
    <w:name w:val="Footnote Text Char"/>
    <w:basedOn w:val="DefaultParagraphFont"/>
    <w:link w:val="FootnoteText"/>
    <w:uiPriority w:val="99"/>
    <w:rsid w:val="006A295A"/>
    <w:rPr>
      <w:rFonts w:ascii="Times New Roman" w:eastAsia="Times New Roman" w:hAnsi="Times New Roman" w:cs="Times New Roman"/>
      <w:sz w:val="20"/>
      <w:szCs w:val="20"/>
    </w:rPr>
  </w:style>
  <w:style w:type="character" w:styleId="FootnoteReference">
    <w:name w:val="footnote reference"/>
    <w:uiPriority w:val="99"/>
    <w:rsid w:val="006A295A"/>
    <w:rPr>
      <w:vertAlign w:val="superscript"/>
    </w:rPr>
  </w:style>
  <w:style w:type="character" w:customStyle="1" w:styleId="ms-rtethemeforecolor-2-01">
    <w:name w:val="ms-rtethemeforecolor-2-01"/>
    <w:rsid w:val="006A295A"/>
    <w:rPr>
      <w:color w:val="000000"/>
    </w:rPr>
  </w:style>
  <w:style w:type="paragraph" w:styleId="BalloonText">
    <w:name w:val="Balloon Text"/>
    <w:basedOn w:val="Normal"/>
    <w:link w:val="BalloonTextChar"/>
    <w:uiPriority w:val="99"/>
    <w:semiHidden/>
    <w:unhideWhenUsed/>
    <w:rsid w:val="006A295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295A"/>
    <w:rPr>
      <w:rFonts w:ascii="Lucida Grande" w:eastAsia="Times New Roman" w:hAnsi="Lucida Grande" w:cs="Lucida Grande"/>
      <w:sz w:val="18"/>
      <w:szCs w:val="18"/>
    </w:rPr>
  </w:style>
  <w:style w:type="paragraph" w:styleId="Header">
    <w:name w:val="header"/>
    <w:basedOn w:val="Normal"/>
    <w:link w:val="HeaderChar"/>
    <w:uiPriority w:val="99"/>
    <w:unhideWhenUsed/>
    <w:rsid w:val="00956154"/>
    <w:pPr>
      <w:tabs>
        <w:tab w:val="center" w:pos="4680"/>
        <w:tab w:val="right" w:pos="9360"/>
      </w:tabs>
    </w:pPr>
  </w:style>
  <w:style w:type="character" w:customStyle="1" w:styleId="HeaderChar">
    <w:name w:val="Header Char"/>
    <w:basedOn w:val="DefaultParagraphFont"/>
    <w:link w:val="Header"/>
    <w:uiPriority w:val="99"/>
    <w:rsid w:val="00956154"/>
    <w:rPr>
      <w:rFonts w:ascii="Times New Roman" w:eastAsia="Times New Roman" w:hAnsi="Times New Roman" w:cs="Times New Roman"/>
    </w:rPr>
  </w:style>
  <w:style w:type="paragraph" w:styleId="Footer">
    <w:name w:val="footer"/>
    <w:basedOn w:val="Normal"/>
    <w:link w:val="FooterChar"/>
    <w:uiPriority w:val="99"/>
    <w:unhideWhenUsed/>
    <w:rsid w:val="00956154"/>
    <w:pPr>
      <w:tabs>
        <w:tab w:val="center" w:pos="4680"/>
        <w:tab w:val="right" w:pos="9360"/>
      </w:tabs>
    </w:pPr>
  </w:style>
  <w:style w:type="character" w:customStyle="1" w:styleId="FooterChar">
    <w:name w:val="Footer Char"/>
    <w:basedOn w:val="DefaultParagraphFont"/>
    <w:link w:val="Footer"/>
    <w:uiPriority w:val="99"/>
    <w:rsid w:val="00956154"/>
    <w:rPr>
      <w:rFonts w:ascii="Times New Roman" w:eastAsia="Times New Roman" w:hAnsi="Times New Roman" w:cs="Times New Roman"/>
    </w:rPr>
  </w:style>
  <w:style w:type="paragraph" w:styleId="ListParagraph">
    <w:name w:val="List Paragraph"/>
    <w:basedOn w:val="Normal"/>
    <w:uiPriority w:val="34"/>
    <w:qFormat/>
    <w:rsid w:val="00C66A2B"/>
    <w:pPr>
      <w:spacing w:after="200" w:line="276" w:lineRule="auto"/>
      <w:ind w:left="720"/>
      <w:contextualSpacing/>
    </w:pPr>
    <w:rPr>
      <w:rFonts w:asciiTheme="minorHAnsi" w:eastAsiaTheme="minorEastAsia" w:hAnsiTheme="minorHAnsi" w:cstheme="minorBidi"/>
      <w:sz w:val="22"/>
      <w:szCs w:val="22"/>
    </w:rPr>
  </w:style>
  <w:style w:type="paragraph" w:styleId="PlainText">
    <w:name w:val="Plain Text"/>
    <w:basedOn w:val="Normal"/>
    <w:link w:val="PlainTextChar"/>
    <w:uiPriority w:val="99"/>
    <w:unhideWhenUsed/>
    <w:rsid w:val="00711E2B"/>
    <w:rPr>
      <w:rFonts w:ascii="Calibri" w:eastAsiaTheme="minorHAnsi" w:hAnsi="Calibri" w:cs="Consolas"/>
      <w:sz w:val="22"/>
      <w:szCs w:val="21"/>
    </w:rPr>
  </w:style>
  <w:style w:type="character" w:customStyle="1" w:styleId="PlainTextChar">
    <w:name w:val="Plain Text Char"/>
    <w:basedOn w:val="DefaultParagraphFont"/>
    <w:link w:val="PlainText"/>
    <w:uiPriority w:val="99"/>
    <w:rsid w:val="00711E2B"/>
    <w:rPr>
      <w:rFonts w:ascii="Calibri" w:eastAsiaTheme="minorHAnsi" w:hAnsi="Calibri" w:cs="Consolas"/>
      <w:sz w:val="22"/>
      <w:szCs w:val="21"/>
    </w:rPr>
  </w:style>
  <w:style w:type="character" w:styleId="CommentReference">
    <w:name w:val="annotation reference"/>
    <w:basedOn w:val="DefaultParagraphFont"/>
    <w:uiPriority w:val="99"/>
    <w:semiHidden/>
    <w:unhideWhenUsed/>
    <w:rsid w:val="00B92DA2"/>
    <w:rPr>
      <w:sz w:val="16"/>
      <w:szCs w:val="16"/>
    </w:rPr>
  </w:style>
  <w:style w:type="paragraph" w:styleId="CommentText">
    <w:name w:val="annotation text"/>
    <w:basedOn w:val="Normal"/>
    <w:link w:val="CommentTextChar"/>
    <w:uiPriority w:val="99"/>
    <w:semiHidden/>
    <w:unhideWhenUsed/>
    <w:rsid w:val="00B92DA2"/>
    <w:rPr>
      <w:sz w:val="20"/>
      <w:szCs w:val="20"/>
    </w:rPr>
  </w:style>
  <w:style w:type="character" w:customStyle="1" w:styleId="CommentTextChar">
    <w:name w:val="Comment Text Char"/>
    <w:basedOn w:val="DefaultParagraphFont"/>
    <w:link w:val="CommentText"/>
    <w:uiPriority w:val="99"/>
    <w:semiHidden/>
    <w:rsid w:val="00B92DA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92DA2"/>
    <w:rPr>
      <w:b/>
      <w:bCs/>
    </w:rPr>
  </w:style>
  <w:style w:type="character" w:customStyle="1" w:styleId="CommentSubjectChar">
    <w:name w:val="Comment Subject Char"/>
    <w:basedOn w:val="CommentTextChar"/>
    <w:link w:val="CommentSubject"/>
    <w:uiPriority w:val="99"/>
    <w:semiHidden/>
    <w:rsid w:val="00B92DA2"/>
    <w:rPr>
      <w:rFonts w:ascii="Times New Roman" w:eastAsia="Times New Roman" w:hAnsi="Times New Roman" w:cs="Times New Roman"/>
      <w:b/>
      <w:bCs/>
      <w:sz w:val="20"/>
      <w:szCs w:val="20"/>
    </w:rPr>
  </w:style>
  <w:style w:type="paragraph" w:styleId="Revision">
    <w:name w:val="Revision"/>
    <w:hidden/>
    <w:uiPriority w:val="99"/>
    <w:semiHidden/>
    <w:rsid w:val="00421F14"/>
    <w:rPr>
      <w:rFonts w:ascii="Times New Roman" w:eastAsia="Times New Roman" w:hAnsi="Times New Roman" w:cs="Times New Roman"/>
    </w:rPr>
  </w:style>
  <w:style w:type="table" w:styleId="TableGrid">
    <w:name w:val="Table Grid"/>
    <w:basedOn w:val="TableNormal"/>
    <w:uiPriority w:val="59"/>
    <w:rsid w:val="00CA78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CF3323"/>
    <w:rPr>
      <w:rFonts w:asciiTheme="majorHAnsi" w:eastAsiaTheme="majorEastAsia" w:hAnsiTheme="majorHAnsi" w:cstheme="majorBidi"/>
      <w:color w:val="243F60" w:themeColor="accent1" w:themeShade="7F"/>
    </w:rPr>
  </w:style>
  <w:style w:type="paragraph" w:customStyle="1" w:styleId="footnotedescription">
    <w:name w:val="footnote description"/>
    <w:next w:val="Normal"/>
    <w:link w:val="footnotedescriptionChar"/>
    <w:hidden/>
    <w:rsid w:val="00553358"/>
    <w:pPr>
      <w:spacing w:line="308" w:lineRule="auto"/>
    </w:pPr>
    <w:rPr>
      <w:rFonts w:ascii="Garamond" w:eastAsia="Garamond" w:hAnsi="Garamond" w:cs="Garamond"/>
      <w:i/>
      <w:color w:val="181717"/>
      <w:sz w:val="12"/>
      <w:szCs w:val="22"/>
    </w:rPr>
  </w:style>
  <w:style w:type="character" w:customStyle="1" w:styleId="footnotedescriptionChar">
    <w:name w:val="footnote description Char"/>
    <w:link w:val="footnotedescription"/>
    <w:rsid w:val="00553358"/>
    <w:rPr>
      <w:rFonts w:ascii="Garamond" w:eastAsia="Garamond" w:hAnsi="Garamond" w:cs="Garamond"/>
      <w:i/>
      <w:color w:val="181717"/>
      <w:sz w:val="12"/>
      <w:szCs w:val="22"/>
    </w:rPr>
  </w:style>
  <w:style w:type="character" w:customStyle="1" w:styleId="footnotemark">
    <w:name w:val="footnote mark"/>
    <w:hidden/>
    <w:rsid w:val="00553358"/>
    <w:rPr>
      <w:rFonts w:ascii="Garamond" w:eastAsia="Garamond" w:hAnsi="Garamond" w:cs="Garamond"/>
      <w:color w:val="181717"/>
      <w:sz w:val="11"/>
      <w:vertAlign w:val="superscript"/>
    </w:rPr>
  </w:style>
  <w:style w:type="paragraph" w:styleId="Title">
    <w:name w:val="Title"/>
    <w:basedOn w:val="Normal"/>
    <w:next w:val="Normal"/>
    <w:link w:val="TitleChar"/>
    <w:uiPriority w:val="10"/>
    <w:qFormat/>
    <w:rsid w:val="00977C0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C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C0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77C0B"/>
    <w:rPr>
      <w:color w:val="5A5A5A" w:themeColor="text1" w:themeTint="A5"/>
      <w:spacing w:val="15"/>
      <w:sz w:val="22"/>
      <w:szCs w:val="22"/>
    </w:rPr>
  </w:style>
  <w:style w:type="paragraph" w:styleId="NormalWeb">
    <w:name w:val="Normal (Web)"/>
    <w:basedOn w:val="Normal"/>
    <w:uiPriority w:val="99"/>
    <w:semiHidden/>
    <w:unhideWhenUsed/>
    <w:rsid w:val="00996EA4"/>
    <w:pPr>
      <w:spacing w:before="100" w:beforeAutospacing="1" w:after="100" w:afterAutospacing="1"/>
    </w:pPr>
  </w:style>
  <w:style w:type="character" w:customStyle="1" w:styleId="apple-converted-space">
    <w:name w:val="apple-converted-space"/>
    <w:basedOn w:val="DefaultParagraphFont"/>
    <w:rsid w:val="00E718D1"/>
  </w:style>
  <w:style w:type="character" w:styleId="Strong">
    <w:name w:val="Strong"/>
    <w:basedOn w:val="DefaultParagraphFont"/>
    <w:uiPriority w:val="22"/>
    <w:qFormat/>
    <w:rsid w:val="00E718D1"/>
    <w:rPr>
      <w:b/>
      <w:bCs/>
    </w:rPr>
  </w:style>
  <w:style w:type="paragraph" w:styleId="BodyText">
    <w:name w:val="Body Text"/>
    <w:basedOn w:val="Normal"/>
    <w:link w:val="BodyTextChar"/>
    <w:uiPriority w:val="99"/>
    <w:semiHidden/>
    <w:unhideWhenUsed/>
    <w:rsid w:val="00313D9F"/>
    <w:pPr>
      <w:spacing w:after="120"/>
    </w:pPr>
  </w:style>
  <w:style w:type="character" w:customStyle="1" w:styleId="BodyTextChar">
    <w:name w:val="Body Text Char"/>
    <w:basedOn w:val="DefaultParagraphFont"/>
    <w:link w:val="BodyText"/>
    <w:uiPriority w:val="99"/>
    <w:semiHidden/>
    <w:rsid w:val="00313D9F"/>
    <w:rPr>
      <w:rFonts w:ascii="Times New Roman" w:eastAsia="Times New Roman" w:hAnsi="Times New Roman" w:cs="Times New Roman"/>
    </w:rPr>
  </w:style>
  <w:style w:type="paragraph" w:customStyle="1" w:styleId="TableParagraph">
    <w:name w:val="Table Paragraph"/>
    <w:basedOn w:val="Normal"/>
    <w:uiPriority w:val="1"/>
    <w:qFormat/>
    <w:rsid w:val="00313D9F"/>
    <w:pPr>
      <w:autoSpaceDE w:val="0"/>
      <w:autoSpaceDN w:val="0"/>
      <w:adjustRightInd w:val="0"/>
      <w:spacing w:line="274" w:lineRule="exact"/>
      <w:ind w:left="100"/>
    </w:pPr>
    <w:rPr>
      <w:rFonts w:eastAsiaTheme="minorEastAsia"/>
    </w:rPr>
  </w:style>
  <w:style w:type="character" w:customStyle="1" w:styleId="Mention1">
    <w:name w:val="Mention1"/>
    <w:basedOn w:val="DefaultParagraphFont"/>
    <w:uiPriority w:val="99"/>
    <w:semiHidden/>
    <w:unhideWhenUsed/>
    <w:rsid w:val="00E27DCE"/>
    <w:rPr>
      <w:color w:val="2B579A"/>
      <w:shd w:val="clear" w:color="auto" w:fill="E6E6E6"/>
    </w:rPr>
  </w:style>
  <w:style w:type="character" w:styleId="PlaceholderText">
    <w:name w:val="Placeholder Text"/>
    <w:basedOn w:val="DefaultParagraphFont"/>
    <w:uiPriority w:val="99"/>
    <w:semiHidden/>
    <w:rsid w:val="00B05F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7325">
      <w:bodyDiv w:val="1"/>
      <w:marLeft w:val="0"/>
      <w:marRight w:val="0"/>
      <w:marTop w:val="0"/>
      <w:marBottom w:val="0"/>
      <w:divBdr>
        <w:top w:val="none" w:sz="0" w:space="0" w:color="auto"/>
        <w:left w:val="none" w:sz="0" w:space="0" w:color="auto"/>
        <w:bottom w:val="none" w:sz="0" w:space="0" w:color="auto"/>
        <w:right w:val="none" w:sz="0" w:space="0" w:color="auto"/>
      </w:divBdr>
      <w:divsChild>
        <w:div w:id="1529292943">
          <w:marLeft w:val="0"/>
          <w:marRight w:val="0"/>
          <w:marTop w:val="0"/>
          <w:marBottom w:val="360"/>
          <w:divBdr>
            <w:top w:val="none" w:sz="0" w:space="0" w:color="auto"/>
            <w:left w:val="none" w:sz="0" w:space="0" w:color="auto"/>
            <w:bottom w:val="none" w:sz="0" w:space="0" w:color="auto"/>
            <w:right w:val="none" w:sz="0" w:space="0" w:color="auto"/>
          </w:divBdr>
        </w:div>
      </w:divsChild>
    </w:div>
    <w:div w:id="625282420">
      <w:bodyDiv w:val="1"/>
      <w:marLeft w:val="0"/>
      <w:marRight w:val="0"/>
      <w:marTop w:val="0"/>
      <w:marBottom w:val="0"/>
      <w:divBdr>
        <w:top w:val="none" w:sz="0" w:space="0" w:color="auto"/>
        <w:left w:val="none" w:sz="0" w:space="0" w:color="auto"/>
        <w:bottom w:val="none" w:sz="0" w:space="0" w:color="auto"/>
        <w:right w:val="none" w:sz="0" w:space="0" w:color="auto"/>
      </w:divBdr>
    </w:div>
    <w:div w:id="968165886">
      <w:bodyDiv w:val="1"/>
      <w:marLeft w:val="0"/>
      <w:marRight w:val="0"/>
      <w:marTop w:val="0"/>
      <w:marBottom w:val="0"/>
      <w:divBdr>
        <w:top w:val="none" w:sz="0" w:space="0" w:color="auto"/>
        <w:left w:val="none" w:sz="0" w:space="0" w:color="auto"/>
        <w:bottom w:val="none" w:sz="0" w:space="0" w:color="auto"/>
        <w:right w:val="none" w:sz="0" w:space="0" w:color="auto"/>
      </w:divBdr>
    </w:div>
    <w:div w:id="2039044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2026"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dp.sharepoint.com/teams/OLS/Shared%20Documents/Forms/SBAA.aspx?id=%2Fteams%2FOLS%2FShared%20Documents%2FUNDP%20Basic%20Documents%2FSettlement%20Policy%20Note%2Epdf&amp;viewid=47eb6516%2D8950%2D4b59%2Dbc40%2D3d53172e1dfb&amp;parent=%2Fteams%2FOLS%2FShared%20Documents%2FUNDP%20Basic%20Docume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popp.undp.org/node/2026"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106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UNITBMS-1904581467-24</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355</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2017-08-01T00:00:00</UNDP_POPP_EFFECTIVEDATE>
    <UNDP_POPP_FILEVERSION xmlns="8264c5cc-ec60-4b56-8111-ce635d3d139a">512</UNDP_POPP_FILEVERSION>
    <UNDP_POPP_REFITEM_VERSION xmlns="8264c5cc-ec60-4b56-8111-ce635d3d139a">6</UNDP_POPP_REFITEM_VERSION>
    <UNDP_POPP_ISACTIVE xmlns="8264c5cc-ec60-4b56-8111-ce635d3d139a">true</UNDP_POPP_ISACTIVE>
    <UNDP_POPP_TITLE_EN xmlns="8264c5cc-ec60-4b56-8111-ce635d3d139a">Gestion des marchés</UNDP_POPP_TITLE_EN>
    <_dlc_DocIdUrl xmlns="8264c5cc-ec60-4b56-8111-ce635d3d139a">
      <Url>https://intranet.undp.org/unit/bms/dir/internal/init_popp/_layouts/15/DocIdRedir.aspx?ID=UNITBMS-1904581467-24</Url>
      <Description>UNITBMS-1904581467-24</Description>
    </_dlc_DocIdUrl>
    <DLCPolicyLabelLock xmlns="e560140e-7b2f-4392-90df-e7567e3021a3" xsi:nil="true"/>
    <DLCPolicyLabelClientValue xmlns="e560140e-7b2f-4392-90df-e7567e3021a3">Effective Date: 01/08/2017                                                Version #: 6.0</DLCPolicyLabelClientValue>
    <UNDP_POPP_BUSINESSUNITID_HIDDEN xmlns="8264c5cc-ec60-4b56-8111-ce635d3d139a" xsi:nil="true"/>
    <DLCPolicyLabelValue xmlns="e560140e-7b2f-4392-90df-e7567e3021a3">Effective Date: 01/08/2017                                                Version #: 6.0</DLCPolicyLabelValue>
  </documentManagement>
</p:properties>
</file>

<file path=customXml/itemProps1.xml><?xml version="1.0" encoding="utf-8"?>
<ds:datastoreItem xmlns:ds="http://schemas.openxmlformats.org/officeDocument/2006/customXml" ds:itemID="{81EB63E9-A84E-4DC5-8ACB-12785C434EAE}">
  <ds:schemaRefs>
    <ds:schemaRef ds:uri="http://schemas.microsoft.com/sharepoint/events"/>
  </ds:schemaRefs>
</ds:datastoreItem>
</file>

<file path=customXml/itemProps2.xml><?xml version="1.0" encoding="utf-8"?>
<ds:datastoreItem xmlns:ds="http://schemas.openxmlformats.org/officeDocument/2006/customXml" ds:itemID="{F88C9148-9BD9-492B-BE74-FE7EC2298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20DC6D-463F-4E07-B7A3-F8C90F5ED703}">
  <ds:schemaRefs>
    <ds:schemaRef ds:uri="office.server.policy"/>
  </ds:schemaRefs>
</ds:datastoreItem>
</file>

<file path=customXml/itemProps4.xml><?xml version="1.0" encoding="utf-8"?>
<ds:datastoreItem xmlns:ds="http://schemas.openxmlformats.org/officeDocument/2006/customXml" ds:itemID="{AF4617BB-C56C-410B-8025-993B408A8F7F}">
  <ds:schemaRefs>
    <ds:schemaRef ds:uri="http://schemas.openxmlformats.org/officeDocument/2006/bibliography"/>
  </ds:schemaRefs>
</ds:datastoreItem>
</file>

<file path=customXml/itemProps5.xml><?xml version="1.0" encoding="utf-8"?>
<ds:datastoreItem xmlns:ds="http://schemas.openxmlformats.org/officeDocument/2006/customXml" ds:itemID="{96DA9A2C-F47F-460C-90EF-0F4BE39A0E9F}">
  <ds:schemaRefs>
    <ds:schemaRef ds:uri="http://schemas.microsoft.com/sharepoint/v3/contenttype/forms"/>
  </ds:schemaRefs>
</ds:datastoreItem>
</file>

<file path=customXml/itemProps6.xml><?xml version="1.0" encoding="utf-8"?>
<ds:datastoreItem xmlns:ds="http://schemas.openxmlformats.org/officeDocument/2006/customXml" ds:itemID="{73628B67-8EAC-464D-95F8-1E8537CD22E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3868</Words>
  <Characters>22049</Characters>
  <Application>Microsoft Office Word</Application>
  <DocSecurity>0</DocSecurity>
  <Lines>183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Adenike Akoh</dc:creator>
  <cp:lastModifiedBy>Emiliana Zhivkova</cp:lastModifiedBy>
  <cp:revision>4</cp:revision>
  <cp:lastPrinted>2014-12-29T19:32:00Z</cp:lastPrinted>
  <dcterms:created xsi:type="dcterms:W3CDTF">2024-07-19T20:35:00Z</dcterms:created>
  <dcterms:modified xsi:type="dcterms:W3CDTF">2024-07-19T20:57:00Z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c123e120-8c43-4c86-9ed3-9aeeb1495fa5</vt:lpwstr>
  </property>
  <property fmtid="{D5CDD505-2E9C-101B-9397-08002B2CF9AE}" pid="4" name="POPPBusinessProcess">
    <vt:lpwstr/>
  </property>
  <property fmtid="{D5CDD505-2E9C-101B-9397-08002B2CF9AE}" pid="5" name="UNDP_POPP_BUSINESSUNIT">
    <vt:lpwstr>355;#Procurement|254a9f96-b883-476a-8ef8-e81f93a2b38d</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3</vt:r8>
  </property>
  <property fmtid="{D5CDD505-2E9C-101B-9397-08002B2CF9AE}" pid="21" name="UndpDocStatus">
    <vt:lpwstr>Draft</vt:lpwstr>
  </property>
  <property fmtid="{D5CDD505-2E9C-101B-9397-08002B2CF9AE}" pid="22" name="UndpClassificationLevel">
    <vt:lpwstr>Internal Use Only</vt:lpwstr>
  </property>
  <property fmtid="{D5CDD505-2E9C-101B-9397-08002B2CF9AE}" pid="23" name="UndpIsTemplate">
    <vt:lpwstr>No</vt:lpwstr>
  </property>
</Properties>
</file>