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F91A" w14:textId="77777777" w:rsidR="00C23B76" w:rsidRDefault="00D65794">
      <w:pPr>
        <w:spacing w:before="90" w:line="338" w:lineRule="auto"/>
        <w:ind w:left="4046" w:right="2276" w:hanging="1054"/>
        <w:rPr>
          <w:b/>
          <w:sz w:val="24"/>
        </w:rPr>
      </w:pPr>
      <w:r>
        <w:rPr>
          <w:b/>
          <w:sz w:val="24"/>
        </w:rPr>
        <w:t>Project Costing and UNDP Support Services GEF Financed Projects</w:t>
      </w:r>
    </w:p>
    <w:p w14:paraId="269DF91B" w14:textId="77777777" w:rsidR="00C23B76" w:rsidRDefault="00C23B76">
      <w:pPr>
        <w:pStyle w:val="BodyText"/>
        <w:spacing w:before="3"/>
        <w:rPr>
          <w:b/>
          <w:sz w:val="27"/>
        </w:rPr>
      </w:pPr>
    </w:p>
    <w:p w14:paraId="269DF91C" w14:textId="77777777" w:rsidR="00C23B76" w:rsidRDefault="00D65794">
      <w:pPr>
        <w:pStyle w:val="Heading1"/>
        <w:numPr>
          <w:ilvl w:val="0"/>
          <w:numId w:val="24"/>
        </w:numPr>
        <w:tabs>
          <w:tab w:val="left" w:pos="461"/>
        </w:tabs>
        <w:spacing w:before="56"/>
        <w:ind w:hanging="361"/>
        <w:jc w:val="left"/>
      </w:pPr>
      <w:bookmarkStart w:id="0" w:name="1._Background"/>
      <w:bookmarkEnd w:id="0"/>
      <w:r>
        <w:t>Background</w:t>
      </w:r>
    </w:p>
    <w:p w14:paraId="269DF91D" w14:textId="77777777" w:rsidR="00C23B76" w:rsidRDefault="00C23B76">
      <w:pPr>
        <w:pStyle w:val="BodyText"/>
        <w:spacing w:before="11"/>
        <w:rPr>
          <w:b/>
          <w:sz w:val="31"/>
        </w:rPr>
      </w:pPr>
    </w:p>
    <w:p w14:paraId="269DF91E" w14:textId="4276F226" w:rsidR="00C23B76" w:rsidRDefault="00D65794">
      <w:pPr>
        <w:pStyle w:val="ListParagraph"/>
        <w:numPr>
          <w:ilvl w:val="1"/>
          <w:numId w:val="24"/>
        </w:numPr>
        <w:tabs>
          <w:tab w:val="left" w:pos="893"/>
        </w:tabs>
        <w:ind w:right="112"/>
        <w:jc w:val="both"/>
      </w:pPr>
      <w:r>
        <w:t>UNDP and the Global Environment Facility (GEF) signed the GEF Trust Fund Agreement in 1991. In 2010, UNDP and the GEF Trustee signed Financial Procedures Agreement which sets the financial procedures for administering the GEF Trust Fund. UNDP accesses GEF grant financing from a number of GEF trust funds, including the GEF; Least Developed Countries Fund (LDCF); Special</w:t>
      </w:r>
      <w:r>
        <w:rPr>
          <w:spacing w:val="-13"/>
        </w:rPr>
        <w:t xml:space="preserve"> </w:t>
      </w:r>
      <w:r>
        <w:t>Climate</w:t>
      </w:r>
      <w:r>
        <w:rPr>
          <w:spacing w:val="-11"/>
        </w:rPr>
        <w:t xml:space="preserve"> </w:t>
      </w:r>
      <w:r>
        <w:t>Change</w:t>
      </w:r>
      <w:r>
        <w:rPr>
          <w:spacing w:val="-14"/>
        </w:rPr>
        <w:t xml:space="preserve"> </w:t>
      </w:r>
      <w:r>
        <w:t>Fund</w:t>
      </w:r>
      <w:r>
        <w:rPr>
          <w:spacing w:val="-12"/>
        </w:rPr>
        <w:t xml:space="preserve"> </w:t>
      </w:r>
      <w:r>
        <w:t>(SCCF);</w:t>
      </w:r>
      <w:r>
        <w:rPr>
          <w:spacing w:val="-14"/>
        </w:rPr>
        <w:t xml:space="preserve"> </w:t>
      </w:r>
      <w:r>
        <w:t>Nagoya</w:t>
      </w:r>
      <w:r>
        <w:rPr>
          <w:spacing w:val="-16"/>
        </w:rPr>
        <w:t xml:space="preserve"> </w:t>
      </w:r>
      <w:r>
        <w:t>Protocol</w:t>
      </w:r>
      <w:r>
        <w:rPr>
          <w:spacing w:val="-14"/>
        </w:rPr>
        <w:t xml:space="preserve"> </w:t>
      </w:r>
      <w:r>
        <w:t>Implementation</w:t>
      </w:r>
      <w:r>
        <w:rPr>
          <w:spacing w:val="-15"/>
        </w:rPr>
        <w:t xml:space="preserve"> </w:t>
      </w:r>
      <w:r>
        <w:t>Fund</w:t>
      </w:r>
      <w:r>
        <w:rPr>
          <w:spacing w:val="-13"/>
        </w:rPr>
        <w:t xml:space="preserve"> </w:t>
      </w:r>
      <w:r>
        <w:t>(NPIF);</w:t>
      </w:r>
      <w:r>
        <w:rPr>
          <w:spacing w:val="-11"/>
        </w:rPr>
        <w:t xml:space="preserve"> </w:t>
      </w:r>
      <w:r>
        <w:t>and</w:t>
      </w:r>
      <w:r>
        <w:rPr>
          <w:spacing w:val="-15"/>
        </w:rPr>
        <w:t xml:space="preserve"> </w:t>
      </w:r>
      <w:r>
        <w:t>Capacity- building Initiative for Transparency (CBIT) funds. As a Vertical Fund, the GEF has its own governance, evaluation, policy, and programming arrangements. GEF resources are earmarked for specific projects and must comply with GEF-specific eligibility criteria and</w:t>
      </w:r>
      <w:r>
        <w:rPr>
          <w:spacing w:val="-10"/>
        </w:rPr>
        <w:t xml:space="preserve"> </w:t>
      </w:r>
      <w:r>
        <w:t>policies.</w:t>
      </w:r>
    </w:p>
    <w:p w14:paraId="269DF91F" w14:textId="4BE3BBFE" w:rsidR="00C23B76" w:rsidRDefault="00D65794">
      <w:pPr>
        <w:pStyle w:val="ListParagraph"/>
        <w:numPr>
          <w:ilvl w:val="1"/>
          <w:numId w:val="24"/>
        </w:numPr>
        <w:tabs>
          <w:tab w:val="left" w:pos="893"/>
        </w:tabs>
        <w:spacing w:before="120"/>
        <w:ind w:right="110"/>
        <w:jc w:val="both"/>
      </w:pPr>
      <w:r>
        <w:t>As a GEF Agency, UNDP works with GEF-eligible countries to access and program GEF resources. As the Environmental Vertical Funds manager within UNDP, the Bureau for Policy and Programme Support of the Global Policy Network - Nature, Climate and Energy - Vertical Fund (BPPS</w:t>
      </w:r>
      <w:r>
        <w:rPr>
          <w:spacing w:val="-9"/>
        </w:rPr>
        <w:t xml:space="preserve"> </w:t>
      </w:r>
      <w:r>
        <w:t>NCE-VF)</w:t>
      </w:r>
      <w:r>
        <w:rPr>
          <w:spacing w:val="-8"/>
        </w:rPr>
        <w:t xml:space="preserve"> </w:t>
      </w:r>
      <w:r>
        <w:t>Directorate</w:t>
      </w:r>
      <w:r>
        <w:rPr>
          <w:spacing w:val="-8"/>
        </w:rPr>
        <w:t xml:space="preserve"> </w:t>
      </w:r>
      <w:r>
        <w:t>manages</w:t>
      </w:r>
      <w:r>
        <w:rPr>
          <w:spacing w:val="-7"/>
        </w:rPr>
        <w:t xml:space="preserve"> </w:t>
      </w:r>
      <w:r>
        <w:t>the</w:t>
      </w:r>
      <w:r>
        <w:rPr>
          <w:spacing w:val="-7"/>
        </w:rPr>
        <w:t xml:space="preserve"> </w:t>
      </w:r>
      <w:r>
        <w:t>relationship</w:t>
      </w:r>
      <w:r>
        <w:rPr>
          <w:spacing w:val="-9"/>
        </w:rPr>
        <w:t xml:space="preserve"> </w:t>
      </w:r>
      <w:r>
        <w:t>with</w:t>
      </w:r>
      <w:r>
        <w:rPr>
          <w:spacing w:val="-8"/>
        </w:rPr>
        <w:t xml:space="preserve"> </w:t>
      </w:r>
      <w:r>
        <w:t>the</w:t>
      </w:r>
      <w:r>
        <w:rPr>
          <w:spacing w:val="-7"/>
        </w:rPr>
        <w:t xml:space="preserve"> </w:t>
      </w:r>
      <w:r>
        <w:t>GEF</w:t>
      </w:r>
      <w:r>
        <w:rPr>
          <w:spacing w:val="-8"/>
        </w:rPr>
        <w:t xml:space="preserve"> </w:t>
      </w:r>
      <w:r>
        <w:t>and</w:t>
      </w:r>
      <w:r>
        <w:rPr>
          <w:spacing w:val="-8"/>
        </w:rPr>
        <w:t xml:space="preserve"> </w:t>
      </w:r>
      <w:r>
        <w:t>supports</w:t>
      </w:r>
      <w:r>
        <w:rPr>
          <w:spacing w:val="-8"/>
        </w:rPr>
        <w:t xml:space="preserve"> </w:t>
      </w:r>
      <w:r>
        <w:t>countries</w:t>
      </w:r>
      <w:r>
        <w:rPr>
          <w:spacing w:val="-7"/>
        </w:rPr>
        <w:t xml:space="preserve"> </w:t>
      </w:r>
      <w:r>
        <w:t>on</w:t>
      </w:r>
      <w:r>
        <w:rPr>
          <w:spacing w:val="-9"/>
        </w:rPr>
        <w:t xml:space="preserve"> </w:t>
      </w:r>
      <w:r>
        <w:t>GEF programming and implementation across interrelated</w:t>
      </w:r>
      <w:r w:rsidR="00830370">
        <w:t xml:space="preserve"> </w:t>
      </w:r>
      <w:r>
        <w:t>GEF technical</w:t>
      </w:r>
      <w:r>
        <w:rPr>
          <w:spacing w:val="-8"/>
        </w:rPr>
        <w:t xml:space="preserve"> </w:t>
      </w:r>
      <w:r>
        <w:t>areas.</w:t>
      </w:r>
    </w:p>
    <w:p w14:paraId="269DF920" w14:textId="12D336A3" w:rsidR="00C23B76" w:rsidRDefault="00D65794">
      <w:pPr>
        <w:pStyle w:val="ListParagraph"/>
        <w:numPr>
          <w:ilvl w:val="1"/>
          <w:numId w:val="24"/>
        </w:numPr>
        <w:tabs>
          <w:tab w:val="left" w:pos="893"/>
        </w:tabs>
        <w:spacing w:before="119"/>
        <w:ind w:right="112"/>
        <w:jc w:val="both"/>
      </w:pPr>
      <w:r>
        <w:t>BPPS NCE-</w:t>
      </w:r>
      <w:r w:rsidRPr="003561EF">
        <w:t>VF has</w:t>
      </w:r>
      <w:r w:rsidR="00830370" w:rsidRPr="003561EF">
        <w:t xml:space="preserve"> </w:t>
      </w:r>
      <w:r w:rsidRPr="003561EF">
        <w:t xml:space="preserve">specialized technical teams in </w:t>
      </w:r>
      <w:r w:rsidRPr="003561EF">
        <w:rPr>
          <w:spacing w:val="-2"/>
        </w:rPr>
        <w:t xml:space="preserve">New </w:t>
      </w:r>
      <w:r w:rsidRPr="003561EF">
        <w:t>York, Addis Ababa, Geneva, Istanbul, Bangkok, and Panama, working on</w:t>
      </w:r>
      <w:r>
        <w:t xml:space="preserve"> catalyze environmental finance for achieving the sustainable development goals. Specifically, the teams work with UNDP Country Offices to develop country capacity to put in place the right mix of regulatory and financial incentives, remove institutional and policy barriers, and create enabling environments that attract and drive public and private sector investment. In doing so, BPPS NCE-VF assists partner countries to access, combine, and sequence resources from a wide range of environmental vertical</w:t>
      </w:r>
      <w:r>
        <w:rPr>
          <w:spacing w:val="-6"/>
        </w:rPr>
        <w:t xml:space="preserve"> </w:t>
      </w:r>
      <w:r>
        <w:t>funds.</w:t>
      </w:r>
    </w:p>
    <w:p w14:paraId="269DF921" w14:textId="77777777" w:rsidR="00C23B76" w:rsidRDefault="00C23B76">
      <w:pPr>
        <w:pStyle w:val="BodyText"/>
        <w:rPr>
          <w:sz w:val="32"/>
        </w:rPr>
      </w:pPr>
    </w:p>
    <w:p w14:paraId="269DF922" w14:textId="77777777" w:rsidR="00C23B76" w:rsidRDefault="00D65794">
      <w:pPr>
        <w:pStyle w:val="Heading1"/>
        <w:numPr>
          <w:ilvl w:val="0"/>
          <w:numId w:val="24"/>
        </w:numPr>
        <w:tabs>
          <w:tab w:val="left" w:pos="461"/>
        </w:tabs>
        <w:ind w:hanging="361"/>
        <w:jc w:val="left"/>
      </w:pPr>
      <w:bookmarkStart w:id="1" w:name="2._Types_of_GEF_Financing"/>
      <w:bookmarkEnd w:id="1"/>
      <w:r>
        <w:t>Types of GEF</w:t>
      </w:r>
      <w:r>
        <w:rPr>
          <w:spacing w:val="-6"/>
        </w:rPr>
        <w:t xml:space="preserve"> </w:t>
      </w:r>
      <w:r>
        <w:t>Financing</w:t>
      </w:r>
    </w:p>
    <w:p w14:paraId="269DF923" w14:textId="77777777" w:rsidR="00C23B76" w:rsidRDefault="00C23B76">
      <w:pPr>
        <w:pStyle w:val="BodyText"/>
        <w:spacing w:before="8"/>
        <w:rPr>
          <w:b/>
          <w:sz w:val="31"/>
        </w:rPr>
      </w:pPr>
    </w:p>
    <w:p w14:paraId="269DF924" w14:textId="77777777" w:rsidR="00C23B76" w:rsidRDefault="00D65794">
      <w:pPr>
        <w:pStyle w:val="ListParagraph"/>
        <w:numPr>
          <w:ilvl w:val="1"/>
          <w:numId w:val="24"/>
        </w:numPr>
        <w:tabs>
          <w:tab w:val="left" w:pos="893"/>
        </w:tabs>
        <w:ind w:right="112"/>
        <w:jc w:val="both"/>
      </w:pPr>
      <w:r>
        <w:t>GEF provides grant financing through four project types: Full-sized Projects (FSP, over US$2 million), Medium-sized Projects (MSP, up to US$2 million), Enabling Activities (EA), and child projects</w:t>
      </w:r>
      <w:r>
        <w:rPr>
          <w:spacing w:val="-10"/>
        </w:rPr>
        <w:t xml:space="preserve"> </w:t>
      </w:r>
      <w:r>
        <w:t>under</w:t>
      </w:r>
      <w:r>
        <w:rPr>
          <w:spacing w:val="-9"/>
        </w:rPr>
        <w:t xml:space="preserve"> </w:t>
      </w:r>
      <w:r>
        <w:t>GEF</w:t>
      </w:r>
      <w:r>
        <w:rPr>
          <w:spacing w:val="-11"/>
        </w:rPr>
        <w:t xml:space="preserve"> </w:t>
      </w:r>
      <w:r>
        <w:t>Impact</w:t>
      </w:r>
      <w:r>
        <w:rPr>
          <w:spacing w:val="-11"/>
        </w:rPr>
        <w:t xml:space="preserve"> </w:t>
      </w:r>
      <w:r>
        <w:t>Programs.</w:t>
      </w:r>
      <w:r>
        <w:rPr>
          <w:spacing w:val="-13"/>
        </w:rPr>
        <w:t xml:space="preserve"> </w:t>
      </w:r>
      <w:r>
        <w:t>MSPs</w:t>
      </w:r>
      <w:r>
        <w:rPr>
          <w:spacing w:val="-9"/>
        </w:rPr>
        <w:t xml:space="preserve"> </w:t>
      </w:r>
      <w:r>
        <w:t>and</w:t>
      </w:r>
      <w:r>
        <w:rPr>
          <w:spacing w:val="-10"/>
        </w:rPr>
        <w:t xml:space="preserve"> </w:t>
      </w:r>
      <w:r>
        <w:t>EAs</w:t>
      </w:r>
      <w:r>
        <w:rPr>
          <w:spacing w:val="-10"/>
        </w:rPr>
        <w:t xml:space="preserve"> </w:t>
      </w:r>
      <w:r>
        <w:t>are</w:t>
      </w:r>
      <w:r>
        <w:rPr>
          <w:spacing w:val="-9"/>
        </w:rPr>
        <w:t xml:space="preserve"> </w:t>
      </w:r>
      <w:r>
        <w:t>approved</w:t>
      </w:r>
      <w:r>
        <w:rPr>
          <w:spacing w:val="-10"/>
        </w:rPr>
        <w:t xml:space="preserve"> </w:t>
      </w:r>
      <w:r>
        <w:t>by</w:t>
      </w:r>
      <w:r>
        <w:rPr>
          <w:spacing w:val="-9"/>
        </w:rPr>
        <w:t xml:space="preserve"> </w:t>
      </w:r>
      <w:r>
        <w:t>the</w:t>
      </w:r>
      <w:r>
        <w:rPr>
          <w:spacing w:val="-12"/>
        </w:rPr>
        <w:t xml:space="preserve"> </w:t>
      </w:r>
      <w:r>
        <w:t>GEF</w:t>
      </w:r>
      <w:r>
        <w:rPr>
          <w:spacing w:val="-11"/>
        </w:rPr>
        <w:t xml:space="preserve"> </w:t>
      </w:r>
      <w:r>
        <w:t>CEO.</w:t>
      </w:r>
      <w:r>
        <w:rPr>
          <w:spacing w:val="29"/>
        </w:rPr>
        <w:t xml:space="preserve"> </w:t>
      </w:r>
      <w:r>
        <w:t>FSPs</w:t>
      </w:r>
      <w:r>
        <w:rPr>
          <w:spacing w:val="-9"/>
        </w:rPr>
        <w:t xml:space="preserve"> </w:t>
      </w:r>
      <w:r>
        <w:t>and</w:t>
      </w:r>
      <w:r>
        <w:rPr>
          <w:spacing w:val="-11"/>
        </w:rPr>
        <w:t xml:space="preserve"> </w:t>
      </w:r>
      <w:r>
        <w:t>child projects under GEF Impact Programs are first approved by the GEF Council, and the full project is later endorsed by the GEF</w:t>
      </w:r>
      <w:r>
        <w:rPr>
          <w:spacing w:val="-5"/>
        </w:rPr>
        <w:t xml:space="preserve"> </w:t>
      </w:r>
      <w:r>
        <w:t>CEO.</w:t>
      </w:r>
    </w:p>
    <w:p w14:paraId="269DF925" w14:textId="77777777" w:rsidR="00C23B76" w:rsidRDefault="00D65794">
      <w:pPr>
        <w:pStyle w:val="ListParagraph"/>
        <w:numPr>
          <w:ilvl w:val="1"/>
          <w:numId w:val="24"/>
        </w:numPr>
        <w:tabs>
          <w:tab w:val="left" w:pos="893"/>
        </w:tabs>
        <w:spacing w:before="122"/>
        <w:ind w:hanging="433"/>
        <w:jc w:val="both"/>
      </w:pPr>
      <w:r>
        <w:t>Upon CEO endorsement/approval, the GEF Trustee issues a Letter of Commitment to</w:t>
      </w:r>
      <w:r>
        <w:rPr>
          <w:spacing w:val="-23"/>
        </w:rPr>
        <w:t xml:space="preserve"> </w:t>
      </w:r>
      <w:r>
        <w:t>UNDP.</w:t>
      </w:r>
    </w:p>
    <w:p w14:paraId="269DF926" w14:textId="77777777" w:rsidR="00C23B76" w:rsidRDefault="00D65794">
      <w:pPr>
        <w:pStyle w:val="ListParagraph"/>
        <w:numPr>
          <w:ilvl w:val="1"/>
          <w:numId w:val="24"/>
        </w:numPr>
        <w:tabs>
          <w:tab w:val="left" w:pos="893"/>
        </w:tabs>
        <w:spacing w:before="120"/>
        <w:ind w:hanging="433"/>
        <w:jc w:val="both"/>
      </w:pPr>
      <w:r>
        <w:t>UNDP receives two types of resources from the GEF Trustee, each for a specific</w:t>
      </w:r>
      <w:r>
        <w:rPr>
          <w:spacing w:val="-17"/>
        </w:rPr>
        <w:t xml:space="preserve"> </w:t>
      </w:r>
      <w:r>
        <w:t>purpose.</w:t>
      </w:r>
    </w:p>
    <w:p w14:paraId="269DF927" w14:textId="77777777" w:rsidR="00C23B76" w:rsidRDefault="00D65794">
      <w:pPr>
        <w:pStyle w:val="ListParagraph"/>
        <w:numPr>
          <w:ilvl w:val="2"/>
          <w:numId w:val="24"/>
        </w:numPr>
        <w:tabs>
          <w:tab w:val="left" w:pos="1375"/>
        </w:tabs>
        <w:spacing w:before="121"/>
        <w:jc w:val="both"/>
      </w:pPr>
      <w:r>
        <w:rPr>
          <w:u w:val="single"/>
        </w:rPr>
        <w:t>Indirect Costs (GEF Agency</w:t>
      </w:r>
      <w:r>
        <w:rPr>
          <w:spacing w:val="-4"/>
          <w:u w:val="single"/>
        </w:rPr>
        <w:t xml:space="preserve"> </w:t>
      </w:r>
      <w:r>
        <w:rPr>
          <w:u w:val="single"/>
        </w:rPr>
        <w:t>Fee)</w:t>
      </w:r>
      <w:r>
        <w:t>:</w:t>
      </w:r>
    </w:p>
    <w:p w14:paraId="269DF928" w14:textId="77777777" w:rsidR="00C23B76" w:rsidRDefault="00D65794">
      <w:pPr>
        <w:pStyle w:val="BodyText"/>
        <w:spacing w:before="120"/>
        <w:ind w:left="1324" w:right="113"/>
        <w:jc w:val="both"/>
      </w:pPr>
      <w:r>
        <w:t>The GEF provides the GEF Agency Fee (the “GEF Fee”) to cover UNDP’s costs in delivering GEF-specific Project Cycle Management Services (PCMS) and GEF Corporate Activities as defined by the GEF Council. These include Oversight services to ensure that project execution (by the Implementing Partner) meets GEF standards and requirements. The Fee is additional to the GEF Grant and is separately committed by the GEF Trustee. The Fee is determined as a percentage of the GEF project budget: For the global GEF Small Grants</w:t>
      </w:r>
    </w:p>
    <w:p w14:paraId="269DF929" w14:textId="77777777" w:rsidR="00C23B76" w:rsidRDefault="00C23B76">
      <w:pPr>
        <w:jc w:val="both"/>
        <w:sectPr w:rsidR="00C23B76">
          <w:headerReference w:type="default" r:id="rId12"/>
          <w:type w:val="continuous"/>
          <w:pgSz w:w="12240" w:h="15840"/>
          <w:pgMar w:top="1340" w:right="1320" w:bottom="280" w:left="1340" w:header="182" w:footer="720" w:gutter="0"/>
          <w:cols w:space="720"/>
        </w:sectPr>
      </w:pPr>
    </w:p>
    <w:p w14:paraId="269DF92A" w14:textId="77777777" w:rsidR="00C23B76" w:rsidRDefault="00D65794">
      <w:pPr>
        <w:pStyle w:val="BodyText"/>
        <w:spacing w:before="90"/>
        <w:ind w:left="1324" w:right="114"/>
        <w:jc w:val="both"/>
      </w:pPr>
      <w:r>
        <w:lastRenderedPageBreak/>
        <w:t>Programme, it is 4%, and for other GEF projects, 9% or 9.5%, depending on the project budget.</w:t>
      </w:r>
    </w:p>
    <w:p w14:paraId="269DF92B" w14:textId="77777777" w:rsidR="00C23B76" w:rsidRDefault="00D65794">
      <w:pPr>
        <w:pStyle w:val="BodyText"/>
        <w:spacing w:before="121"/>
        <w:ind w:left="1324" w:right="113"/>
        <w:jc w:val="both"/>
      </w:pPr>
      <w:r>
        <w:t>UNDP GMS and GEF PCMS services differ. However, the GEF Fee is disbursed to UNDP COs and/or</w:t>
      </w:r>
      <w:r>
        <w:rPr>
          <w:spacing w:val="-8"/>
        </w:rPr>
        <w:t xml:space="preserve"> </w:t>
      </w:r>
      <w:r>
        <w:t>other</w:t>
      </w:r>
      <w:r>
        <w:rPr>
          <w:spacing w:val="-8"/>
        </w:rPr>
        <w:t xml:space="preserve"> </w:t>
      </w:r>
      <w:r>
        <w:t>UNDP</w:t>
      </w:r>
      <w:r>
        <w:rPr>
          <w:spacing w:val="-7"/>
        </w:rPr>
        <w:t xml:space="preserve"> </w:t>
      </w:r>
      <w:r>
        <w:t>offices/Units</w:t>
      </w:r>
      <w:r>
        <w:rPr>
          <w:spacing w:val="-5"/>
        </w:rPr>
        <w:t xml:space="preserve"> </w:t>
      </w:r>
      <w:r>
        <w:t>acting</w:t>
      </w:r>
      <w:r>
        <w:rPr>
          <w:spacing w:val="-6"/>
        </w:rPr>
        <w:t xml:space="preserve"> </w:t>
      </w:r>
      <w:r>
        <w:t>as</w:t>
      </w:r>
      <w:r>
        <w:rPr>
          <w:spacing w:val="-8"/>
        </w:rPr>
        <w:t xml:space="preserve"> </w:t>
      </w:r>
      <w:r>
        <w:t>Project</w:t>
      </w:r>
      <w:r>
        <w:rPr>
          <w:spacing w:val="-7"/>
        </w:rPr>
        <w:t xml:space="preserve"> </w:t>
      </w:r>
      <w:r>
        <w:t>Business</w:t>
      </w:r>
      <w:r>
        <w:rPr>
          <w:spacing w:val="-5"/>
        </w:rPr>
        <w:t xml:space="preserve"> </w:t>
      </w:r>
      <w:r>
        <w:t>Units</w:t>
      </w:r>
      <w:r>
        <w:rPr>
          <w:spacing w:val="-8"/>
        </w:rPr>
        <w:t xml:space="preserve"> </w:t>
      </w:r>
      <w:r>
        <w:t>according</w:t>
      </w:r>
      <w:r>
        <w:rPr>
          <w:spacing w:val="-8"/>
        </w:rPr>
        <w:t xml:space="preserve"> </w:t>
      </w:r>
      <w:r>
        <w:t>to</w:t>
      </w:r>
      <w:r>
        <w:rPr>
          <w:spacing w:val="-6"/>
        </w:rPr>
        <w:t xml:space="preserve"> </w:t>
      </w:r>
      <w:r>
        <w:t>the</w:t>
      </w:r>
      <w:r>
        <w:rPr>
          <w:spacing w:val="-10"/>
        </w:rPr>
        <w:t xml:space="preserve"> </w:t>
      </w:r>
      <w:r>
        <w:t>principles that govern UNDP</w:t>
      </w:r>
      <w:r>
        <w:rPr>
          <w:spacing w:val="-3"/>
        </w:rPr>
        <w:t xml:space="preserve"> </w:t>
      </w:r>
      <w:r>
        <w:t>GMS.</w:t>
      </w:r>
    </w:p>
    <w:p w14:paraId="269DF92C" w14:textId="77777777" w:rsidR="00C23B76" w:rsidRDefault="00D65794">
      <w:pPr>
        <w:pStyle w:val="BodyText"/>
        <w:spacing w:before="118"/>
        <w:ind w:left="1324" w:right="114"/>
        <w:jc w:val="both"/>
      </w:pPr>
      <w:r>
        <w:t>Since 2016, following IPSAS requirements, the Fee is released to respective UNDP units based on project delivery. The Fee earned on delivery for COs is included under the annual XB Institution Budget (IB) allocation to COs by RBx. COs are to use the Fee for the abovementioned GEF project cycle management services (Oversight services).</w:t>
      </w:r>
    </w:p>
    <w:p w14:paraId="269DF92D" w14:textId="77777777" w:rsidR="00C23B76" w:rsidRDefault="00C23B76">
      <w:pPr>
        <w:pStyle w:val="BodyText"/>
        <w:spacing w:before="4"/>
        <w:rPr>
          <w:sz w:val="32"/>
        </w:rPr>
      </w:pPr>
    </w:p>
    <w:p w14:paraId="269DF92E" w14:textId="77777777" w:rsidR="00C23B76" w:rsidRDefault="00D65794">
      <w:pPr>
        <w:pStyle w:val="ListParagraph"/>
        <w:numPr>
          <w:ilvl w:val="2"/>
          <w:numId w:val="24"/>
        </w:numPr>
        <w:tabs>
          <w:tab w:val="left" w:pos="1375"/>
        </w:tabs>
        <w:jc w:val="both"/>
      </w:pPr>
      <w:r>
        <w:rPr>
          <w:u w:val="single"/>
        </w:rPr>
        <w:t>Direct Costs (GEF Grant, project</w:t>
      </w:r>
      <w:r>
        <w:rPr>
          <w:spacing w:val="-6"/>
          <w:u w:val="single"/>
        </w:rPr>
        <w:t xml:space="preserve"> </w:t>
      </w:r>
      <w:r>
        <w:rPr>
          <w:u w:val="single"/>
        </w:rPr>
        <w:t>budget):</w:t>
      </w:r>
    </w:p>
    <w:p w14:paraId="269DF92F" w14:textId="77777777" w:rsidR="00C23B76" w:rsidRDefault="00D65794">
      <w:pPr>
        <w:pStyle w:val="ListParagraph"/>
        <w:numPr>
          <w:ilvl w:val="3"/>
          <w:numId w:val="24"/>
        </w:numPr>
        <w:tabs>
          <w:tab w:val="left" w:pos="1901"/>
        </w:tabs>
        <w:spacing w:before="119"/>
        <w:ind w:right="112"/>
        <w:jc w:val="both"/>
      </w:pPr>
      <w:r>
        <w:t>The</w:t>
      </w:r>
      <w:r>
        <w:rPr>
          <w:spacing w:val="-8"/>
        </w:rPr>
        <w:t xml:space="preserve"> </w:t>
      </w:r>
      <w:r>
        <w:t>GEF</w:t>
      </w:r>
      <w:r>
        <w:rPr>
          <w:spacing w:val="-11"/>
        </w:rPr>
        <w:t xml:space="preserve"> </w:t>
      </w:r>
      <w:r>
        <w:t>Grant</w:t>
      </w:r>
      <w:r>
        <w:rPr>
          <w:spacing w:val="-10"/>
        </w:rPr>
        <w:t xml:space="preserve"> </w:t>
      </w:r>
      <w:r>
        <w:t>is</w:t>
      </w:r>
      <w:r>
        <w:rPr>
          <w:spacing w:val="-8"/>
        </w:rPr>
        <w:t xml:space="preserve"> </w:t>
      </w:r>
      <w:r>
        <w:t>the</w:t>
      </w:r>
      <w:r>
        <w:rPr>
          <w:spacing w:val="-9"/>
        </w:rPr>
        <w:t xml:space="preserve"> </w:t>
      </w:r>
      <w:r>
        <w:t>Program</w:t>
      </w:r>
      <w:r>
        <w:rPr>
          <w:spacing w:val="-7"/>
        </w:rPr>
        <w:t xml:space="preserve"> </w:t>
      </w:r>
      <w:r>
        <w:t>Fund</w:t>
      </w:r>
      <w:r>
        <w:rPr>
          <w:spacing w:val="-9"/>
        </w:rPr>
        <w:t xml:space="preserve"> </w:t>
      </w:r>
      <w:r>
        <w:t>(Project</w:t>
      </w:r>
      <w:r>
        <w:rPr>
          <w:spacing w:val="-7"/>
        </w:rPr>
        <w:t xml:space="preserve"> </w:t>
      </w:r>
      <w:r>
        <w:t>Budget)</w:t>
      </w:r>
      <w:r>
        <w:rPr>
          <w:spacing w:val="-13"/>
        </w:rPr>
        <w:t xml:space="preserve"> </w:t>
      </w:r>
      <w:r>
        <w:t>of</w:t>
      </w:r>
      <w:r>
        <w:rPr>
          <w:spacing w:val="-10"/>
        </w:rPr>
        <w:t xml:space="preserve"> </w:t>
      </w:r>
      <w:r>
        <w:t>the</w:t>
      </w:r>
      <w:r>
        <w:rPr>
          <w:spacing w:val="-8"/>
        </w:rPr>
        <w:t xml:space="preserve"> </w:t>
      </w:r>
      <w:r>
        <w:t>approved</w:t>
      </w:r>
      <w:r>
        <w:rPr>
          <w:spacing w:val="-11"/>
        </w:rPr>
        <w:t xml:space="preserve"> </w:t>
      </w:r>
      <w:r>
        <w:t>GEF</w:t>
      </w:r>
      <w:r>
        <w:rPr>
          <w:spacing w:val="-8"/>
        </w:rPr>
        <w:t xml:space="preserve"> </w:t>
      </w:r>
      <w:r>
        <w:t>project.</w:t>
      </w:r>
      <w:r>
        <w:rPr>
          <w:spacing w:val="-9"/>
        </w:rPr>
        <w:t xml:space="preserve"> </w:t>
      </w:r>
      <w:r>
        <w:t>GEF project budgets must be used for the purpose approved by the GEF at the CEO endorsement stage. Detailed budgetary items are included in the Total Budget and workplan</w:t>
      </w:r>
      <w:r>
        <w:rPr>
          <w:spacing w:val="-9"/>
        </w:rPr>
        <w:t xml:space="preserve"> </w:t>
      </w:r>
      <w:r>
        <w:t>table</w:t>
      </w:r>
      <w:r>
        <w:rPr>
          <w:spacing w:val="-7"/>
        </w:rPr>
        <w:t xml:space="preserve"> </w:t>
      </w:r>
      <w:r>
        <w:t>of</w:t>
      </w:r>
      <w:r>
        <w:rPr>
          <w:spacing w:val="-7"/>
        </w:rPr>
        <w:t xml:space="preserve"> </w:t>
      </w:r>
      <w:r>
        <w:t>the</w:t>
      </w:r>
      <w:r>
        <w:rPr>
          <w:spacing w:val="-7"/>
        </w:rPr>
        <w:t xml:space="preserve"> </w:t>
      </w:r>
      <w:r>
        <w:t>project</w:t>
      </w:r>
      <w:r>
        <w:rPr>
          <w:spacing w:val="-7"/>
        </w:rPr>
        <w:t xml:space="preserve"> </w:t>
      </w:r>
      <w:r>
        <w:t>document</w:t>
      </w:r>
      <w:r>
        <w:rPr>
          <w:spacing w:val="-8"/>
        </w:rPr>
        <w:t xml:space="preserve"> </w:t>
      </w:r>
      <w:r>
        <w:t>submitted</w:t>
      </w:r>
      <w:r>
        <w:rPr>
          <w:spacing w:val="-7"/>
        </w:rPr>
        <w:t xml:space="preserve"> </w:t>
      </w:r>
      <w:r>
        <w:t>to</w:t>
      </w:r>
      <w:r>
        <w:rPr>
          <w:spacing w:val="-9"/>
        </w:rPr>
        <w:t xml:space="preserve"> </w:t>
      </w:r>
      <w:r>
        <w:t>GEF</w:t>
      </w:r>
      <w:r>
        <w:rPr>
          <w:spacing w:val="-7"/>
        </w:rPr>
        <w:t xml:space="preserve"> </w:t>
      </w:r>
      <w:r>
        <w:t>Secretariat</w:t>
      </w:r>
      <w:r>
        <w:rPr>
          <w:spacing w:val="-8"/>
        </w:rPr>
        <w:t xml:space="preserve"> </w:t>
      </w:r>
      <w:r>
        <w:t>(GEFSEC)</w:t>
      </w:r>
      <w:r>
        <w:rPr>
          <w:spacing w:val="-8"/>
        </w:rPr>
        <w:t xml:space="preserve"> </w:t>
      </w:r>
      <w:r>
        <w:t>at</w:t>
      </w:r>
      <w:r>
        <w:rPr>
          <w:spacing w:val="-9"/>
        </w:rPr>
        <w:t xml:space="preserve"> </w:t>
      </w:r>
      <w:r>
        <w:t>the CEO endorsement</w:t>
      </w:r>
      <w:r>
        <w:rPr>
          <w:spacing w:val="-1"/>
        </w:rPr>
        <w:t xml:space="preserve"> </w:t>
      </w:r>
      <w:r>
        <w:t>stage.</w:t>
      </w:r>
    </w:p>
    <w:p w14:paraId="269DF930" w14:textId="77777777" w:rsidR="00C23B76" w:rsidRDefault="00C23B76">
      <w:pPr>
        <w:pStyle w:val="BodyText"/>
        <w:spacing w:before="1"/>
      </w:pPr>
    </w:p>
    <w:p w14:paraId="269DF931" w14:textId="77777777" w:rsidR="00C23B76" w:rsidRDefault="00D65794">
      <w:pPr>
        <w:pStyle w:val="ListParagraph"/>
        <w:numPr>
          <w:ilvl w:val="3"/>
          <w:numId w:val="24"/>
        </w:numPr>
        <w:tabs>
          <w:tab w:val="left" w:pos="1901"/>
        </w:tabs>
        <w:ind w:right="111"/>
        <w:jc w:val="both"/>
        <w:rPr>
          <w:b/>
        </w:rPr>
      </w:pPr>
      <w:r>
        <w:t xml:space="preserve">UNDP has traditionally provided two categories of support to GEF-financed projects: Oversight services (covered by the GEF Fee) and execution support (funded from the project budget if approved by GEF). However, various GEF policies stress that both types of support cannot be provided by the same GEF Agency due to </w:t>
      </w:r>
      <w:r>
        <w:rPr>
          <w:b/>
        </w:rPr>
        <w:t>conflict of interest (meaning it is conflict of interest for an office to oversee its own</w:t>
      </w:r>
      <w:r>
        <w:rPr>
          <w:b/>
          <w:spacing w:val="-25"/>
        </w:rPr>
        <w:t xml:space="preserve"> </w:t>
      </w:r>
      <w:r>
        <w:rPr>
          <w:b/>
        </w:rPr>
        <w:t>work).</w:t>
      </w:r>
    </w:p>
    <w:p w14:paraId="269DF932" w14:textId="77777777" w:rsidR="00C23B76" w:rsidRDefault="00C23B76">
      <w:pPr>
        <w:pStyle w:val="BodyText"/>
        <w:spacing w:before="10"/>
        <w:rPr>
          <w:b/>
          <w:sz w:val="31"/>
        </w:rPr>
      </w:pPr>
    </w:p>
    <w:p w14:paraId="269DF933" w14:textId="77777777" w:rsidR="00C23B76" w:rsidRDefault="00D65794">
      <w:pPr>
        <w:pStyle w:val="ListParagraph"/>
        <w:numPr>
          <w:ilvl w:val="3"/>
          <w:numId w:val="24"/>
        </w:numPr>
        <w:tabs>
          <w:tab w:val="left" w:pos="1901"/>
        </w:tabs>
        <w:ind w:right="116"/>
        <w:jc w:val="both"/>
      </w:pPr>
      <w:r>
        <w:t>The July</w:t>
      </w:r>
      <w:r>
        <w:rPr>
          <w:color w:val="0000FF"/>
        </w:rPr>
        <w:t xml:space="preserve"> </w:t>
      </w:r>
      <w:hyperlink r:id="rId13">
        <w:r>
          <w:rPr>
            <w:color w:val="0000FF"/>
            <w:u w:val="single" w:color="0000FF"/>
          </w:rPr>
          <w:t>2020 GEF Guidelines on the GEF Project and Program Cycle Policy</w:t>
        </w:r>
        <w:r>
          <w:rPr>
            <w:color w:val="0000FF"/>
          </w:rPr>
          <w:t xml:space="preserve"> </w:t>
        </w:r>
      </w:hyperlink>
      <w:r>
        <w:t>state that “</w:t>
      </w:r>
      <w:r>
        <w:rPr>
          <w:i/>
        </w:rPr>
        <w:t>in exceptional cases</w:t>
      </w:r>
      <w:r>
        <w:rPr>
          <w:rFonts w:ascii="Arial" w:hAnsi="Arial"/>
          <w:i/>
          <w:vertAlign w:val="superscript"/>
        </w:rPr>
        <w:t>1</w:t>
      </w:r>
      <w:r>
        <w:rPr>
          <w:rFonts w:ascii="Arial" w:hAnsi="Arial"/>
          <w:i/>
        </w:rPr>
        <w:t xml:space="preserve"> </w:t>
      </w:r>
      <w:r>
        <w:rPr>
          <w:i/>
        </w:rPr>
        <w:t>and as required by the Agency in accordance with its policy requirements, per the request of the beneficiary country/countries, and with the appropriate justification (see below), the same GEF Agency may carry out both functions.</w:t>
      </w:r>
      <w:r>
        <w:t>” The conditions for doing so</w:t>
      </w:r>
      <w:r>
        <w:rPr>
          <w:spacing w:val="-5"/>
        </w:rPr>
        <w:t xml:space="preserve"> </w:t>
      </w:r>
      <w:r>
        <w:t>are:</w:t>
      </w:r>
    </w:p>
    <w:p w14:paraId="269DF934" w14:textId="77777777" w:rsidR="00C23B76" w:rsidRDefault="00D65794">
      <w:pPr>
        <w:pStyle w:val="ListParagraph"/>
        <w:numPr>
          <w:ilvl w:val="4"/>
          <w:numId w:val="24"/>
        </w:numPr>
        <w:tabs>
          <w:tab w:val="left" w:pos="2621"/>
        </w:tabs>
        <w:spacing w:before="1"/>
        <w:ind w:right="113"/>
        <w:jc w:val="both"/>
      </w:pPr>
      <w:r>
        <w:t>The request for such exceptions should be clearly specified and included in a letter of support (using a GEF template) from all the relevant in-country GEF Operational Focal Points</w:t>
      </w:r>
      <w:r>
        <w:rPr>
          <w:spacing w:val="-3"/>
        </w:rPr>
        <w:t xml:space="preserve"> </w:t>
      </w:r>
      <w:r>
        <w:t>(OFPs).</w:t>
      </w:r>
    </w:p>
    <w:p w14:paraId="269DF935" w14:textId="77777777" w:rsidR="00C23B76" w:rsidRDefault="00D65794">
      <w:pPr>
        <w:pStyle w:val="ListParagraph"/>
        <w:numPr>
          <w:ilvl w:val="4"/>
          <w:numId w:val="24"/>
        </w:numPr>
        <w:tabs>
          <w:tab w:val="left" w:pos="2621"/>
        </w:tabs>
        <w:ind w:right="113"/>
        <w:jc w:val="both"/>
      </w:pPr>
      <w:r>
        <w:t>The letter of support must be submitted before or by the time of CEO Endorsement/Approval at the latest.</w:t>
      </w:r>
    </w:p>
    <w:p w14:paraId="269DF936" w14:textId="77777777" w:rsidR="00C23B76" w:rsidRDefault="00D65794">
      <w:pPr>
        <w:pStyle w:val="ListParagraph"/>
        <w:numPr>
          <w:ilvl w:val="4"/>
          <w:numId w:val="24"/>
        </w:numPr>
        <w:tabs>
          <w:tab w:val="left" w:pos="2621"/>
        </w:tabs>
        <w:ind w:right="114"/>
        <w:jc w:val="both"/>
      </w:pPr>
      <w:r>
        <w:t>The specific roles and responsibilities of all partners, including any execution activities provided by the GEF Agency. must be clearly described in the</w:t>
      </w:r>
      <w:r>
        <w:rPr>
          <w:spacing w:val="-22"/>
        </w:rPr>
        <w:t xml:space="preserve"> </w:t>
      </w:r>
      <w:r>
        <w:t>letter of</w:t>
      </w:r>
      <w:r>
        <w:rPr>
          <w:spacing w:val="-1"/>
        </w:rPr>
        <w:t xml:space="preserve"> </w:t>
      </w:r>
      <w:r>
        <w:t>support.</w:t>
      </w:r>
    </w:p>
    <w:p w14:paraId="269DF937" w14:textId="77777777" w:rsidR="00C23B76" w:rsidRDefault="00D65794">
      <w:pPr>
        <w:pStyle w:val="ListParagraph"/>
        <w:numPr>
          <w:ilvl w:val="4"/>
          <w:numId w:val="24"/>
        </w:numPr>
        <w:tabs>
          <w:tab w:val="left" w:pos="2621"/>
        </w:tabs>
        <w:ind w:right="117"/>
        <w:jc w:val="both"/>
      </w:pPr>
      <w:r>
        <w:t>Upstream consultation with the GEF Secretariat on the proposed execution arrangements is strongly</w:t>
      </w:r>
      <w:r>
        <w:rPr>
          <w:spacing w:val="-1"/>
        </w:rPr>
        <w:t xml:space="preserve"> </w:t>
      </w:r>
      <w:r>
        <w:t>encouraged.</w:t>
      </w:r>
    </w:p>
    <w:p w14:paraId="269DF938" w14:textId="77777777" w:rsidR="00C23B76" w:rsidRDefault="00D65794">
      <w:pPr>
        <w:pStyle w:val="ListParagraph"/>
        <w:numPr>
          <w:ilvl w:val="4"/>
          <w:numId w:val="24"/>
        </w:numPr>
        <w:tabs>
          <w:tab w:val="left" w:pos="2621"/>
        </w:tabs>
        <w:ind w:right="114"/>
        <w:jc w:val="both"/>
      </w:pPr>
      <w:r>
        <w:t>The GEF Secretariat assesses the request and decides whether to approve it the GEF Agency is informed of the decision in the review</w:t>
      </w:r>
      <w:r>
        <w:rPr>
          <w:spacing w:val="-10"/>
        </w:rPr>
        <w:t xml:space="preserve"> </w:t>
      </w:r>
      <w:r>
        <w:t>sheet.</w:t>
      </w:r>
    </w:p>
    <w:p w14:paraId="269DF939" w14:textId="77777777" w:rsidR="00C23B76" w:rsidRDefault="00C23B76">
      <w:pPr>
        <w:pStyle w:val="BodyText"/>
        <w:rPr>
          <w:sz w:val="20"/>
        </w:rPr>
      </w:pPr>
    </w:p>
    <w:p w14:paraId="269DF93A" w14:textId="77777777" w:rsidR="00C23B76" w:rsidRDefault="00C23B76">
      <w:pPr>
        <w:pStyle w:val="BodyText"/>
        <w:rPr>
          <w:sz w:val="20"/>
        </w:rPr>
      </w:pPr>
    </w:p>
    <w:p w14:paraId="269DF93B" w14:textId="77777777" w:rsidR="00C23B76" w:rsidRDefault="00C23B76">
      <w:pPr>
        <w:pStyle w:val="BodyText"/>
        <w:rPr>
          <w:sz w:val="20"/>
        </w:rPr>
      </w:pPr>
    </w:p>
    <w:p w14:paraId="269DF93C" w14:textId="77777777" w:rsidR="00C23B76" w:rsidRDefault="00C23B76">
      <w:pPr>
        <w:pStyle w:val="BodyText"/>
        <w:rPr>
          <w:sz w:val="20"/>
        </w:rPr>
      </w:pPr>
    </w:p>
    <w:p w14:paraId="269DF93D" w14:textId="18738BBD" w:rsidR="00C23B76" w:rsidRDefault="00AF49B0">
      <w:pPr>
        <w:pStyle w:val="BodyText"/>
        <w:spacing w:before="5"/>
        <w:rPr>
          <w:sz w:val="11"/>
        </w:rPr>
      </w:pPr>
      <w:r>
        <w:rPr>
          <w:noProof/>
        </w:rPr>
        <mc:AlternateContent>
          <mc:Choice Requires="wps">
            <w:drawing>
              <wp:anchor distT="0" distB="0" distL="0" distR="0" simplePos="0" relativeHeight="251659264" behindDoc="1" locked="0" layoutInCell="1" allowOverlap="1" wp14:anchorId="269DFB72" wp14:editId="66D51AD7">
                <wp:simplePos x="0" y="0"/>
                <wp:positionH relativeFrom="page">
                  <wp:posOffset>914400</wp:posOffset>
                </wp:positionH>
                <wp:positionV relativeFrom="paragraph">
                  <wp:posOffset>117475</wp:posOffset>
                </wp:positionV>
                <wp:extent cx="1829435" cy="1270"/>
                <wp:effectExtent l="0" t="0" r="0" b="0"/>
                <wp:wrapTopAndBottom/>
                <wp:docPr id="2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2EA5AD" id="Freeform 10" o:spid="_x0000_s1026" style="position:absolute;margin-left:1in;margin-top:9.2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" path="m,l2881,e" filled="f" strokeweight=".6pt">
                <v:path arrowok="t" o:connecttype="custom" o:connectlocs="0,0;1829435,0" o:connectangles="0,0"/>
                <w10:wrap type="topAndBottom" anchorx="page"/>
              </v:shape>
            </w:pict>
          </mc:Fallback>
        </mc:AlternateContent>
      </w:r>
    </w:p>
    <w:p w14:paraId="269DF93E" w14:textId="77777777" w:rsidR="00C23B76" w:rsidRDefault="00D65794">
      <w:pPr>
        <w:spacing w:before="80"/>
        <w:ind w:left="100"/>
        <w:rPr>
          <w:sz w:val="18"/>
        </w:rPr>
      </w:pPr>
      <w:r>
        <w:rPr>
          <w:position w:val="5"/>
          <w:sz w:val="12"/>
        </w:rPr>
        <w:t xml:space="preserve">1 </w:t>
      </w:r>
      <w:r>
        <w:rPr>
          <w:sz w:val="18"/>
        </w:rPr>
        <w:t>Refer to the Annex 1 – UNDP Execution Support to GEF-finance Projects</w:t>
      </w:r>
    </w:p>
    <w:p w14:paraId="269DF93F" w14:textId="77777777" w:rsidR="00C23B76" w:rsidRDefault="00C23B76">
      <w:pPr>
        <w:rPr>
          <w:sz w:val="18"/>
        </w:rPr>
        <w:sectPr w:rsidR="00C23B76">
          <w:headerReference w:type="default" r:id="rId14"/>
          <w:footerReference w:type="default" r:id="rId15"/>
          <w:pgSz w:w="12240" w:h="15840"/>
          <w:pgMar w:top="1340" w:right="1320" w:bottom="1260" w:left="1340" w:header="182" w:footer="1066" w:gutter="0"/>
          <w:pgNumType w:start="2"/>
          <w:cols w:space="720"/>
        </w:sectPr>
      </w:pPr>
    </w:p>
    <w:p w14:paraId="269DF940" w14:textId="261416B2" w:rsidR="00C23B76" w:rsidRDefault="000860A8">
      <w:pPr>
        <w:pStyle w:val="ListParagraph"/>
        <w:numPr>
          <w:ilvl w:val="3"/>
          <w:numId w:val="24"/>
        </w:numPr>
        <w:tabs>
          <w:tab w:val="left" w:pos="1901"/>
        </w:tabs>
        <w:spacing w:before="90"/>
        <w:ind w:right="115"/>
        <w:jc w:val="both"/>
      </w:pPr>
      <w:r w:rsidRPr="003561EF">
        <w:lastRenderedPageBreak/>
        <w:t>The July</w:t>
      </w:r>
      <w:r w:rsidRPr="003561EF">
        <w:rPr>
          <w:color w:val="0000FF"/>
        </w:rPr>
        <w:t xml:space="preserve"> </w:t>
      </w:r>
      <w:hyperlink r:id="rId16">
        <w:r w:rsidRPr="003561EF">
          <w:rPr>
            <w:color w:val="0000FF"/>
            <w:u w:val="single" w:color="0000FF"/>
          </w:rPr>
          <w:t>2020 GEF Guidelines on the GEF Project and Program Cycle Policy</w:t>
        </w:r>
        <w:r w:rsidRPr="003561EF">
          <w:rPr>
            <w:color w:val="0000FF"/>
          </w:rPr>
          <w:t xml:space="preserve"> </w:t>
        </w:r>
      </w:hyperlink>
      <w:r w:rsidRPr="003561EF">
        <w:t xml:space="preserve">also state that </w:t>
      </w:r>
      <w:r w:rsidR="00C5030E" w:rsidRPr="003561EF">
        <w:t>w</w:t>
      </w:r>
      <w:r w:rsidR="00D65794" w:rsidRPr="003561EF">
        <w:t>hen</w:t>
      </w:r>
      <w:r w:rsidR="00D65794">
        <w:rPr>
          <w:spacing w:val="-7"/>
        </w:rPr>
        <w:t xml:space="preserve"> </w:t>
      </w:r>
      <w:r w:rsidR="00D65794">
        <w:t>the</w:t>
      </w:r>
      <w:r w:rsidR="00D65794">
        <w:rPr>
          <w:spacing w:val="-5"/>
        </w:rPr>
        <w:t xml:space="preserve"> </w:t>
      </w:r>
      <w:r w:rsidR="00D65794">
        <w:t>GEF</w:t>
      </w:r>
      <w:r w:rsidR="00D65794">
        <w:rPr>
          <w:spacing w:val="-6"/>
        </w:rPr>
        <w:t xml:space="preserve"> </w:t>
      </w:r>
      <w:r w:rsidR="00D65794">
        <w:t>Secretariat</w:t>
      </w:r>
      <w:r w:rsidR="00D65794">
        <w:rPr>
          <w:spacing w:val="-8"/>
        </w:rPr>
        <w:t xml:space="preserve"> </w:t>
      </w:r>
      <w:r w:rsidR="00D65794">
        <w:t>approves</w:t>
      </w:r>
      <w:r w:rsidR="00D65794">
        <w:rPr>
          <w:spacing w:val="-8"/>
        </w:rPr>
        <w:t xml:space="preserve"> </w:t>
      </w:r>
      <w:r w:rsidR="00D65794">
        <w:t>an</w:t>
      </w:r>
      <w:r w:rsidR="00D65794">
        <w:rPr>
          <w:spacing w:val="-9"/>
        </w:rPr>
        <w:t xml:space="preserve"> </w:t>
      </w:r>
      <w:r w:rsidR="00D65794">
        <w:t>exceptional</w:t>
      </w:r>
      <w:r w:rsidR="00D65794">
        <w:rPr>
          <w:spacing w:val="-6"/>
        </w:rPr>
        <w:t xml:space="preserve"> </w:t>
      </w:r>
      <w:r w:rsidR="00D65794">
        <w:t>request</w:t>
      </w:r>
      <w:r w:rsidR="00D65794">
        <w:rPr>
          <w:spacing w:val="-5"/>
        </w:rPr>
        <w:t xml:space="preserve"> </w:t>
      </w:r>
      <w:r w:rsidR="00D65794">
        <w:t>and</w:t>
      </w:r>
      <w:r w:rsidR="00D65794">
        <w:rPr>
          <w:spacing w:val="-10"/>
        </w:rPr>
        <w:t xml:space="preserve"> </w:t>
      </w:r>
      <w:r w:rsidR="00D65794">
        <w:t>the</w:t>
      </w:r>
      <w:r w:rsidR="00D65794">
        <w:rPr>
          <w:spacing w:val="-8"/>
        </w:rPr>
        <w:t xml:space="preserve"> </w:t>
      </w:r>
      <w:r w:rsidR="00D65794">
        <w:t>same</w:t>
      </w:r>
      <w:r w:rsidR="00D65794">
        <w:rPr>
          <w:spacing w:val="-7"/>
        </w:rPr>
        <w:t xml:space="preserve"> </w:t>
      </w:r>
      <w:r w:rsidR="00D65794">
        <w:t>GEF</w:t>
      </w:r>
      <w:r w:rsidR="00D65794">
        <w:rPr>
          <w:spacing w:val="-8"/>
        </w:rPr>
        <w:t xml:space="preserve"> </w:t>
      </w:r>
      <w:r w:rsidR="00D65794">
        <w:t>Agency carries out both oversight services and execution support, the GEF Agency must separate its oversight services and execution support and establish the</w:t>
      </w:r>
      <w:r w:rsidR="00D65794">
        <w:rPr>
          <w:spacing w:val="-19"/>
        </w:rPr>
        <w:t xml:space="preserve"> </w:t>
      </w:r>
      <w:r w:rsidR="00D65794">
        <w:t>following:</w:t>
      </w:r>
    </w:p>
    <w:p w14:paraId="269DF941" w14:textId="77777777" w:rsidR="00C23B76" w:rsidRDefault="00D65794">
      <w:pPr>
        <w:pStyle w:val="ListParagraph"/>
        <w:numPr>
          <w:ilvl w:val="0"/>
          <w:numId w:val="23"/>
        </w:numPr>
        <w:tabs>
          <w:tab w:val="left" w:pos="1901"/>
        </w:tabs>
        <w:spacing w:before="3" w:line="237" w:lineRule="auto"/>
        <w:ind w:right="111"/>
        <w:jc w:val="both"/>
      </w:pPr>
      <w:r>
        <w:t>A</w:t>
      </w:r>
      <w:r>
        <w:rPr>
          <w:spacing w:val="-11"/>
        </w:rPr>
        <w:t xml:space="preserve"> </w:t>
      </w:r>
      <w:r>
        <w:t>satisfactory</w:t>
      </w:r>
      <w:r>
        <w:rPr>
          <w:spacing w:val="-10"/>
        </w:rPr>
        <w:t xml:space="preserve"> </w:t>
      </w:r>
      <w:r>
        <w:t>institutional</w:t>
      </w:r>
      <w:r>
        <w:rPr>
          <w:spacing w:val="-13"/>
        </w:rPr>
        <w:t xml:space="preserve"> </w:t>
      </w:r>
      <w:r>
        <w:t>arrangement</w:t>
      </w:r>
      <w:r>
        <w:rPr>
          <w:spacing w:val="-9"/>
        </w:rPr>
        <w:t xml:space="preserve"> </w:t>
      </w:r>
      <w:r>
        <w:t>for</w:t>
      </w:r>
      <w:r>
        <w:rPr>
          <w:spacing w:val="-10"/>
        </w:rPr>
        <w:t xml:space="preserve"> </w:t>
      </w:r>
      <w:r>
        <w:t>the</w:t>
      </w:r>
      <w:r>
        <w:rPr>
          <w:spacing w:val="-10"/>
        </w:rPr>
        <w:t xml:space="preserve"> </w:t>
      </w:r>
      <w:r>
        <w:t>separation</w:t>
      </w:r>
      <w:r>
        <w:rPr>
          <w:spacing w:val="-11"/>
        </w:rPr>
        <w:t xml:space="preserve"> </w:t>
      </w:r>
      <w:r>
        <w:t>of</w:t>
      </w:r>
      <w:r>
        <w:rPr>
          <w:spacing w:val="-11"/>
        </w:rPr>
        <w:t xml:space="preserve"> </w:t>
      </w:r>
      <w:r>
        <w:t>oversight</w:t>
      </w:r>
      <w:r>
        <w:rPr>
          <w:spacing w:val="-10"/>
        </w:rPr>
        <w:t xml:space="preserve"> </w:t>
      </w:r>
      <w:r>
        <w:t>and</w:t>
      </w:r>
      <w:r>
        <w:rPr>
          <w:spacing w:val="-11"/>
        </w:rPr>
        <w:t xml:space="preserve"> </w:t>
      </w:r>
      <w:r>
        <w:t>execution functions in different departments of the GEF</w:t>
      </w:r>
      <w:r>
        <w:rPr>
          <w:spacing w:val="-2"/>
        </w:rPr>
        <w:t xml:space="preserve"> </w:t>
      </w:r>
      <w:r>
        <w:t>Agency;</w:t>
      </w:r>
    </w:p>
    <w:p w14:paraId="269DF942" w14:textId="77777777" w:rsidR="00C23B76" w:rsidRDefault="00D65794">
      <w:pPr>
        <w:pStyle w:val="ListParagraph"/>
        <w:numPr>
          <w:ilvl w:val="0"/>
          <w:numId w:val="23"/>
        </w:numPr>
        <w:tabs>
          <w:tab w:val="left" w:pos="1901"/>
        </w:tabs>
        <w:spacing w:before="2"/>
        <w:ind w:right="115"/>
        <w:jc w:val="both"/>
      </w:pPr>
      <w:r>
        <w:t>Clear lines of responsibility, reporting, monitoring evaluation and accountability within the GEF Agency between the oversight and execution</w:t>
      </w:r>
      <w:r>
        <w:rPr>
          <w:spacing w:val="-15"/>
        </w:rPr>
        <w:t xml:space="preserve"> </w:t>
      </w:r>
      <w:r>
        <w:t>functions.</w:t>
      </w:r>
    </w:p>
    <w:p w14:paraId="269DF943" w14:textId="77777777" w:rsidR="00C23B76" w:rsidRDefault="00C23B76">
      <w:pPr>
        <w:pStyle w:val="BodyText"/>
      </w:pPr>
    </w:p>
    <w:p w14:paraId="269DF944" w14:textId="77777777" w:rsidR="00C23B76" w:rsidRDefault="00D65794">
      <w:pPr>
        <w:pStyle w:val="BodyText"/>
        <w:spacing w:before="1"/>
        <w:ind w:left="1828" w:right="113"/>
        <w:jc w:val="both"/>
      </w:pPr>
      <w:r>
        <w:t>This separation helps ensure the segregation of accountability and financial management roles, in light of the accountability of the GEF Agency to supervise the Implementing</w:t>
      </w:r>
      <w:r>
        <w:rPr>
          <w:spacing w:val="-9"/>
        </w:rPr>
        <w:t xml:space="preserve"> </w:t>
      </w:r>
      <w:r>
        <w:t>Partner</w:t>
      </w:r>
      <w:r>
        <w:rPr>
          <w:spacing w:val="-8"/>
        </w:rPr>
        <w:t xml:space="preserve"> </w:t>
      </w:r>
      <w:r>
        <w:t>executing</w:t>
      </w:r>
      <w:r>
        <w:rPr>
          <w:spacing w:val="-6"/>
        </w:rPr>
        <w:t xml:space="preserve"> </w:t>
      </w:r>
      <w:r>
        <w:t>the</w:t>
      </w:r>
      <w:r>
        <w:rPr>
          <w:spacing w:val="-8"/>
        </w:rPr>
        <w:t xml:space="preserve"> </w:t>
      </w:r>
      <w:r>
        <w:t>project.</w:t>
      </w:r>
      <w:r>
        <w:rPr>
          <w:spacing w:val="-8"/>
        </w:rPr>
        <w:t xml:space="preserve"> </w:t>
      </w:r>
      <w:r>
        <w:t>Segregation</w:t>
      </w:r>
      <w:r>
        <w:rPr>
          <w:spacing w:val="-8"/>
        </w:rPr>
        <w:t xml:space="preserve"> </w:t>
      </w:r>
      <w:r>
        <w:t>of</w:t>
      </w:r>
      <w:r>
        <w:rPr>
          <w:spacing w:val="-6"/>
        </w:rPr>
        <w:t xml:space="preserve"> </w:t>
      </w:r>
      <w:r>
        <w:t>duties</w:t>
      </w:r>
      <w:r>
        <w:rPr>
          <w:spacing w:val="-7"/>
        </w:rPr>
        <w:t xml:space="preserve"> </w:t>
      </w:r>
      <w:r>
        <w:t>is</w:t>
      </w:r>
      <w:r>
        <w:rPr>
          <w:spacing w:val="-8"/>
        </w:rPr>
        <w:t xml:space="preserve"> </w:t>
      </w:r>
      <w:r>
        <w:t>to</w:t>
      </w:r>
      <w:r>
        <w:rPr>
          <w:spacing w:val="-6"/>
        </w:rPr>
        <w:t xml:space="preserve"> </w:t>
      </w:r>
      <w:r>
        <w:t>be</w:t>
      </w:r>
      <w:r>
        <w:rPr>
          <w:spacing w:val="-7"/>
        </w:rPr>
        <w:t xml:space="preserve"> </w:t>
      </w:r>
      <w:r>
        <w:t>maintained in</w:t>
      </w:r>
      <w:r>
        <w:rPr>
          <w:spacing w:val="-5"/>
        </w:rPr>
        <w:t xml:space="preserve"> </w:t>
      </w:r>
      <w:r>
        <w:t>the</w:t>
      </w:r>
      <w:r>
        <w:rPr>
          <w:spacing w:val="-3"/>
        </w:rPr>
        <w:t xml:space="preserve"> </w:t>
      </w:r>
      <w:r>
        <w:t>following</w:t>
      </w:r>
      <w:r>
        <w:rPr>
          <w:spacing w:val="-5"/>
        </w:rPr>
        <w:t xml:space="preserve"> </w:t>
      </w:r>
      <w:r>
        <w:t>areas</w:t>
      </w:r>
      <w:r>
        <w:rPr>
          <w:spacing w:val="-4"/>
        </w:rPr>
        <w:t xml:space="preserve"> </w:t>
      </w:r>
      <w:r>
        <w:t>at</w:t>
      </w:r>
      <w:r>
        <w:rPr>
          <w:spacing w:val="-3"/>
        </w:rPr>
        <w:t xml:space="preserve"> </w:t>
      </w:r>
      <w:r>
        <w:t>a</w:t>
      </w:r>
      <w:r>
        <w:rPr>
          <w:spacing w:val="-6"/>
        </w:rPr>
        <w:t xml:space="preserve"> </w:t>
      </w:r>
      <w:r>
        <w:t>minimum:</w:t>
      </w:r>
      <w:r>
        <w:rPr>
          <w:spacing w:val="-4"/>
        </w:rPr>
        <w:t xml:space="preserve"> </w:t>
      </w:r>
      <w:r>
        <w:t>settlement</w:t>
      </w:r>
      <w:r>
        <w:rPr>
          <w:spacing w:val="-3"/>
        </w:rPr>
        <w:t xml:space="preserve"> </w:t>
      </w:r>
      <w:r>
        <w:t>processing,</w:t>
      </w:r>
      <w:r>
        <w:rPr>
          <w:spacing w:val="-3"/>
        </w:rPr>
        <w:t xml:space="preserve"> </w:t>
      </w:r>
      <w:r>
        <w:t>procurement</w:t>
      </w:r>
      <w:r>
        <w:rPr>
          <w:spacing w:val="-4"/>
        </w:rPr>
        <w:t xml:space="preserve"> </w:t>
      </w:r>
      <w:r>
        <w:t>processing, risk management/reconciliations, and accounting. Related roles and duties of the separate responsible units within the Agency are subject to regular review by Agency management</w:t>
      </w:r>
      <w:r>
        <w:rPr>
          <w:spacing w:val="-8"/>
        </w:rPr>
        <w:t xml:space="preserve"> </w:t>
      </w:r>
      <w:r>
        <w:t>and</w:t>
      </w:r>
      <w:r>
        <w:rPr>
          <w:spacing w:val="-8"/>
        </w:rPr>
        <w:t xml:space="preserve"> </w:t>
      </w:r>
      <w:r>
        <w:t>action</w:t>
      </w:r>
      <w:r>
        <w:rPr>
          <w:spacing w:val="-8"/>
        </w:rPr>
        <w:t xml:space="preserve"> </w:t>
      </w:r>
      <w:r>
        <w:t>by</w:t>
      </w:r>
      <w:r>
        <w:rPr>
          <w:spacing w:val="-8"/>
        </w:rPr>
        <w:t xml:space="preserve"> </w:t>
      </w:r>
      <w:r>
        <w:t>the</w:t>
      </w:r>
      <w:r>
        <w:rPr>
          <w:spacing w:val="-7"/>
        </w:rPr>
        <w:t xml:space="preserve"> </w:t>
      </w:r>
      <w:r>
        <w:t>Agency</w:t>
      </w:r>
      <w:r>
        <w:rPr>
          <w:spacing w:val="-6"/>
        </w:rPr>
        <w:t xml:space="preserve"> </w:t>
      </w:r>
      <w:r>
        <w:t>is</w:t>
      </w:r>
      <w:r>
        <w:rPr>
          <w:spacing w:val="-7"/>
        </w:rPr>
        <w:t xml:space="preserve"> </w:t>
      </w:r>
      <w:r>
        <w:t>required</w:t>
      </w:r>
      <w:r>
        <w:rPr>
          <w:spacing w:val="-8"/>
        </w:rPr>
        <w:t xml:space="preserve"> </w:t>
      </w:r>
      <w:r>
        <w:t>when</w:t>
      </w:r>
      <w:r>
        <w:rPr>
          <w:spacing w:val="-8"/>
        </w:rPr>
        <w:t xml:space="preserve"> </w:t>
      </w:r>
      <w:r>
        <w:t>discrepancies</w:t>
      </w:r>
      <w:r>
        <w:rPr>
          <w:spacing w:val="-7"/>
        </w:rPr>
        <w:t xml:space="preserve"> </w:t>
      </w:r>
      <w:r>
        <w:t>and</w:t>
      </w:r>
      <w:r>
        <w:rPr>
          <w:spacing w:val="-8"/>
        </w:rPr>
        <w:t xml:space="preserve"> </w:t>
      </w:r>
      <w:r>
        <w:t>exceptions are noted.</w:t>
      </w:r>
    </w:p>
    <w:p w14:paraId="269DF945" w14:textId="77777777" w:rsidR="00C23B76" w:rsidRDefault="00C23B76">
      <w:pPr>
        <w:pStyle w:val="BodyText"/>
      </w:pPr>
    </w:p>
    <w:p w14:paraId="269DF946" w14:textId="77777777" w:rsidR="00C23B76" w:rsidRDefault="00D65794">
      <w:pPr>
        <w:pStyle w:val="BodyText"/>
        <w:ind w:left="1828" w:right="180"/>
      </w:pPr>
      <w:r>
        <w:t>Refer to Annex 1 – GEF Conditions for UNDP Support Services (11 August 2020”, on the procedures to follow, when UNDP offices/Units that act as Project Business Units, are requested to provide execution support to the Implementing Partner.</w:t>
      </w:r>
    </w:p>
    <w:p w14:paraId="269DF947" w14:textId="77777777" w:rsidR="00C23B76" w:rsidRDefault="00C23B76">
      <w:pPr>
        <w:pStyle w:val="BodyText"/>
        <w:spacing w:before="11"/>
        <w:rPr>
          <w:sz w:val="31"/>
        </w:rPr>
      </w:pPr>
    </w:p>
    <w:p w14:paraId="269DF948" w14:textId="77777777" w:rsidR="00C23B76" w:rsidRDefault="00D65794">
      <w:pPr>
        <w:pStyle w:val="ListParagraph"/>
        <w:numPr>
          <w:ilvl w:val="0"/>
          <w:numId w:val="24"/>
        </w:numPr>
        <w:tabs>
          <w:tab w:val="left" w:pos="461"/>
        </w:tabs>
        <w:ind w:hanging="361"/>
        <w:jc w:val="both"/>
        <w:rPr>
          <w:b/>
        </w:rPr>
      </w:pPr>
      <w:bookmarkStart w:id="2" w:name="3._Structure_of_GEF_Direct_Cost/GEF_Proj"/>
      <w:bookmarkEnd w:id="2"/>
      <w:r>
        <w:rPr>
          <w:b/>
          <w:u w:val="single"/>
        </w:rPr>
        <w:t>Structure of GEF Direct Cost/GEF Project budget (Refer to Table 1 for eligibility of cost</w:t>
      </w:r>
      <w:r>
        <w:rPr>
          <w:b/>
          <w:spacing w:val="-27"/>
          <w:u w:val="single"/>
        </w:rPr>
        <w:t xml:space="preserve"> </w:t>
      </w:r>
      <w:r>
        <w:rPr>
          <w:b/>
          <w:u w:val="single"/>
        </w:rPr>
        <w:t>items)</w:t>
      </w:r>
    </w:p>
    <w:p w14:paraId="269DF949" w14:textId="22AD85B3" w:rsidR="00C23B76" w:rsidRDefault="00D65794">
      <w:pPr>
        <w:pStyle w:val="ListParagraph"/>
        <w:numPr>
          <w:ilvl w:val="1"/>
          <w:numId w:val="24"/>
        </w:numPr>
        <w:tabs>
          <w:tab w:val="left" w:pos="893"/>
        </w:tabs>
        <w:spacing w:before="120"/>
        <w:ind w:right="111"/>
        <w:jc w:val="both"/>
        <w:rPr>
          <w:sz w:val="20"/>
        </w:rPr>
      </w:pPr>
      <w:bookmarkStart w:id="3" w:name="3.1._Total_Budget_and_Work_Plan_(TBWP)_–"/>
      <w:bookmarkEnd w:id="3"/>
      <w:r>
        <w:rPr>
          <w:b/>
          <w:u w:val="single"/>
        </w:rPr>
        <w:t>Total Budget and Work Plan (TBWP)</w:t>
      </w:r>
      <w:r>
        <w:rPr>
          <w:b/>
        </w:rPr>
        <w:t xml:space="preserve"> – </w:t>
      </w:r>
      <w:r>
        <w:t xml:space="preserve">UNDP offices/Units acting as Project Business Units are required to submit a TBWP with the UNDP-GEF Project Document (financed by Global Environment Facility) for CEO endorsement. The project budget (i.e., TBWP) must breakdown Project </w:t>
      </w:r>
      <w:r>
        <w:rPr>
          <w:b/>
        </w:rPr>
        <w:t xml:space="preserve">Technical Components </w:t>
      </w:r>
      <w:r>
        <w:t xml:space="preserve">and </w:t>
      </w:r>
      <w:r>
        <w:rPr>
          <w:b/>
        </w:rPr>
        <w:t xml:space="preserve">Project Management Costs (PMC) </w:t>
      </w:r>
      <w:r>
        <w:t>separately. The costs of UNDP Support Services, if approved (as an exception) by GEF CEO, must be included under the GEF project budget under the PMC budget. For details, see</w:t>
      </w:r>
      <w:r>
        <w:rPr>
          <w:color w:val="0000FF"/>
        </w:rPr>
        <w:t xml:space="preserve"> </w:t>
      </w:r>
      <w:hyperlink r:id="rId17" w:history="1">
        <w:r w:rsidRPr="00DE15A1">
          <w:rPr>
            <w:rStyle w:val="Hyperlink"/>
          </w:rPr>
          <w:t>Annex 1 – GEF Conditions for UNDP Support Services (11 August</w:t>
        </w:r>
        <w:r w:rsidRPr="00DE15A1">
          <w:rPr>
            <w:rStyle w:val="Hyperlink"/>
            <w:spacing w:val="-2"/>
          </w:rPr>
          <w:t xml:space="preserve"> </w:t>
        </w:r>
        <w:r w:rsidRPr="00DE15A1">
          <w:rPr>
            <w:rStyle w:val="Hyperlink"/>
          </w:rPr>
          <w:t>2020)</w:t>
        </w:r>
      </w:hyperlink>
      <w:r>
        <w:rPr>
          <w:sz w:val="20"/>
        </w:rPr>
        <w:t>.</w:t>
      </w:r>
    </w:p>
    <w:p w14:paraId="269DF94A" w14:textId="77777777" w:rsidR="00C23B76" w:rsidRDefault="00C23B76">
      <w:pPr>
        <w:pStyle w:val="BodyText"/>
        <w:spacing w:before="3"/>
        <w:rPr>
          <w:sz w:val="27"/>
        </w:rPr>
      </w:pPr>
    </w:p>
    <w:p w14:paraId="269DF94B" w14:textId="68A72A7D" w:rsidR="00C23B76" w:rsidRDefault="00D65794">
      <w:pPr>
        <w:pStyle w:val="ListParagraph"/>
        <w:numPr>
          <w:ilvl w:val="1"/>
          <w:numId w:val="24"/>
        </w:numPr>
        <w:tabs>
          <w:tab w:val="left" w:pos="893"/>
        </w:tabs>
        <w:spacing w:before="56"/>
        <w:ind w:right="112"/>
        <w:jc w:val="both"/>
      </w:pPr>
      <w:r>
        <w:rPr>
          <w:b/>
          <w:u w:val="single"/>
        </w:rPr>
        <w:t>Project Structure in Atlas</w:t>
      </w:r>
      <w:r>
        <w:rPr>
          <w:b/>
        </w:rPr>
        <w:t xml:space="preserve"> </w:t>
      </w:r>
      <w:r>
        <w:t>– To ensure compliance with GEF budget reallocation policies at the technical</w:t>
      </w:r>
      <w:r>
        <w:rPr>
          <w:spacing w:val="-7"/>
        </w:rPr>
        <w:t xml:space="preserve"> </w:t>
      </w:r>
      <w:r>
        <w:t>component</w:t>
      </w:r>
      <w:r>
        <w:rPr>
          <w:spacing w:val="-3"/>
        </w:rPr>
        <w:t xml:space="preserve"> </w:t>
      </w:r>
      <w:r>
        <w:t>level</w:t>
      </w:r>
      <w:r>
        <w:rPr>
          <w:spacing w:val="-5"/>
        </w:rPr>
        <w:t xml:space="preserve"> </w:t>
      </w:r>
      <w:r>
        <w:t>(Atlas</w:t>
      </w:r>
      <w:r>
        <w:rPr>
          <w:spacing w:val="-4"/>
        </w:rPr>
        <w:t xml:space="preserve"> </w:t>
      </w:r>
      <w:r>
        <w:t>Activity</w:t>
      </w:r>
      <w:r>
        <w:rPr>
          <w:spacing w:val="-4"/>
        </w:rPr>
        <w:t xml:space="preserve"> </w:t>
      </w:r>
      <w:r>
        <w:t>level),</w:t>
      </w:r>
      <w:r>
        <w:rPr>
          <w:spacing w:val="-4"/>
        </w:rPr>
        <w:t xml:space="preserve"> </w:t>
      </w:r>
      <w:r>
        <w:t>the</w:t>
      </w:r>
      <w:r>
        <w:rPr>
          <w:spacing w:val="-5"/>
        </w:rPr>
        <w:t xml:space="preserve"> </w:t>
      </w:r>
      <w:r>
        <w:t>GEF</w:t>
      </w:r>
      <w:r>
        <w:rPr>
          <w:spacing w:val="-4"/>
        </w:rPr>
        <w:t xml:space="preserve"> </w:t>
      </w:r>
      <w:r>
        <w:t>project</w:t>
      </w:r>
      <w:r>
        <w:rPr>
          <w:spacing w:val="-3"/>
        </w:rPr>
        <w:t xml:space="preserve"> </w:t>
      </w:r>
      <w:r>
        <w:t>is</w:t>
      </w:r>
      <w:r>
        <w:rPr>
          <w:spacing w:val="-6"/>
        </w:rPr>
        <w:t xml:space="preserve"> </w:t>
      </w:r>
      <w:r>
        <w:t>normally</w:t>
      </w:r>
      <w:r>
        <w:rPr>
          <w:spacing w:val="-2"/>
        </w:rPr>
        <w:t xml:space="preserve"> </w:t>
      </w:r>
      <w:r>
        <w:t>set</w:t>
      </w:r>
      <w:r>
        <w:rPr>
          <w:spacing w:val="-5"/>
        </w:rPr>
        <w:t xml:space="preserve"> </w:t>
      </w:r>
      <w:r>
        <w:t>up</w:t>
      </w:r>
      <w:r>
        <w:rPr>
          <w:spacing w:val="-7"/>
        </w:rPr>
        <w:t xml:space="preserve"> </w:t>
      </w:r>
      <w:r>
        <w:t>with</w:t>
      </w:r>
      <w:r>
        <w:rPr>
          <w:spacing w:val="-6"/>
        </w:rPr>
        <w:t xml:space="preserve"> </w:t>
      </w:r>
      <w:r>
        <w:t>one</w:t>
      </w:r>
      <w:r>
        <w:rPr>
          <w:spacing w:val="-2"/>
        </w:rPr>
        <w:t xml:space="preserve"> </w:t>
      </w:r>
      <w:r>
        <w:t>Atlas Award (use “award” instead of “project”) and one Atlas Output, with multiple ‘Atlas Activities’ under the same Atlas Output. Each Activity corresponds to a project technical component, with one for Knowledge Management and Monitoring &amp; Evaluation, and with one for PMC. A ‘Total Budget and Work Plan’ (TBWP) table (including activity level and budget notes) is the main budget table used for budget monitoring during project implementation. Refer to the TBWP template under the</w:t>
      </w:r>
      <w:r>
        <w:rPr>
          <w:color w:val="0000FF"/>
        </w:rPr>
        <w:t xml:space="preserve"> </w:t>
      </w:r>
      <w:hyperlink r:id="rId18" w:history="1">
        <w:r w:rsidRPr="00DE15A1">
          <w:rPr>
            <w:rStyle w:val="Hyperlink"/>
          </w:rPr>
          <w:t>UNDP-GEF Project Document</w:t>
        </w:r>
      </w:hyperlink>
      <w:r>
        <w:rPr>
          <w:color w:val="0000FF"/>
        </w:rPr>
        <w:t xml:space="preserve"> </w:t>
      </w:r>
      <w:r>
        <w:t>(financed by Global Environment</w:t>
      </w:r>
      <w:r>
        <w:rPr>
          <w:spacing w:val="-13"/>
        </w:rPr>
        <w:t xml:space="preserve"> </w:t>
      </w:r>
      <w:r>
        <w:t>Facility).</w:t>
      </w:r>
    </w:p>
    <w:p w14:paraId="269DF94C" w14:textId="77777777" w:rsidR="00C23B76" w:rsidRDefault="00D65794">
      <w:pPr>
        <w:pStyle w:val="BodyText"/>
        <w:spacing w:before="120"/>
        <w:ind w:left="892" w:right="113"/>
        <w:jc w:val="both"/>
      </w:pPr>
      <w:r>
        <w:t>Any cash co-financing (i.e. cost sharing, TRAC, etc.) to be directly used under the same UNDP- GEF project document, should be monitored by a separate Atlas output under the same Atlas award. This will not delay the GEF project closure as required by the GEF Council if the co- financing fund balance is still active after the GEF terminal evaluation is completed.</w:t>
      </w:r>
    </w:p>
    <w:p w14:paraId="269DF94D" w14:textId="77777777" w:rsidR="00C23B76" w:rsidRDefault="00C23B76">
      <w:pPr>
        <w:pStyle w:val="BodyText"/>
        <w:spacing w:before="4"/>
      </w:pPr>
    </w:p>
    <w:p w14:paraId="269DF94E" w14:textId="77777777" w:rsidR="00C23B76" w:rsidRDefault="00D65794">
      <w:pPr>
        <w:pStyle w:val="Heading1"/>
        <w:numPr>
          <w:ilvl w:val="0"/>
          <w:numId w:val="24"/>
        </w:numPr>
        <w:tabs>
          <w:tab w:val="left" w:pos="461"/>
        </w:tabs>
        <w:ind w:hanging="361"/>
        <w:jc w:val="left"/>
      </w:pPr>
      <w:bookmarkStart w:id="4" w:name="4._Project_Management_Costs_(PMC)"/>
      <w:bookmarkEnd w:id="4"/>
      <w:r>
        <w:t>Project Management Costs (PMC)</w:t>
      </w:r>
    </w:p>
    <w:p w14:paraId="269DF951" w14:textId="61B04663" w:rsidR="00C23B76" w:rsidRDefault="00D65794" w:rsidP="00BE178F">
      <w:pPr>
        <w:pStyle w:val="ListParagraph"/>
        <w:numPr>
          <w:ilvl w:val="1"/>
          <w:numId w:val="24"/>
        </w:numPr>
        <w:tabs>
          <w:tab w:val="left" w:pos="893"/>
        </w:tabs>
        <w:spacing w:before="120"/>
        <w:ind w:right="114"/>
        <w:jc w:val="both"/>
      </w:pPr>
      <w:r>
        <w:rPr>
          <w:b/>
          <w:u w:val="single"/>
        </w:rPr>
        <w:lastRenderedPageBreak/>
        <w:t>PMC</w:t>
      </w:r>
      <w:r>
        <w:rPr>
          <w:b/>
          <w:spacing w:val="-8"/>
        </w:rPr>
        <w:t xml:space="preserve"> </w:t>
      </w:r>
      <w:r>
        <w:t>costs</w:t>
      </w:r>
      <w:r>
        <w:rPr>
          <w:spacing w:val="-8"/>
        </w:rPr>
        <w:t xml:space="preserve"> </w:t>
      </w:r>
      <w:r>
        <w:t>are</w:t>
      </w:r>
      <w:r>
        <w:rPr>
          <w:spacing w:val="-7"/>
        </w:rPr>
        <w:t xml:space="preserve"> </w:t>
      </w:r>
      <w:r>
        <w:t>associated</w:t>
      </w:r>
      <w:r>
        <w:rPr>
          <w:spacing w:val="-8"/>
        </w:rPr>
        <w:t xml:space="preserve"> </w:t>
      </w:r>
      <w:r>
        <w:t>with</w:t>
      </w:r>
      <w:r>
        <w:rPr>
          <w:spacing w:val="-9"/>
        </w:rPr>
        <w:t xml:space="preserve"> </w:t>
      </w:r>
      <w:r>
        <w:t>project</w:t>
      </w:r>
      <w:r>
        <w:rPr>
          <w:spacing w:val="-7"/>
        </w:rPr>
        <w:t xml:space="preserve"> </w:t>
      </w:r>
      <w:r>
        <w:t>execution</w:t>
      </w:r>
      <w:r>
        <w:rPr>
          <w:spacing w:val="-9"/>
        </w:rPr>
        <w:t xml:space="preserve"> </w:t>
      </w:r>
      <w:r>
        <w:t>by</w:t>
      </w:r>
      <w:r>
        <w:rPr>
          <w:spacing w:val="-7"/>
        </w:rPr>
        <w:t xml:space="preserve"> </w:t>
      </w:r>
      <w:r>
        <w:t>the</w:t>
      </w:r>
      <w:r>
        <w:rPr>
          <w:spacing w:val="-10"/>
        </w:rPr>
        <w:t xml:space="preserve"> </w:t>
      </w:r>
      <w:r>
        <w:t>Implementing</w:t>
      </w:r>
      <w:r>
        <w:rPr>
          <w:spacing w:val="-9"/>
        </w:rPr>
        <w:t xml:space="preserve"> </w:t>
      </w:r>
      <w:r>
        <w:t>Partner</w:t>
      </w:r>
      <w:r>
        <w:rPr>
          <w:spacing w:val="-7"/>
        </w:rPr>
        <w:t xml:space="preserve"> </w:t>
      </w:r>
      <w:r>
        <w:t>and</w:t>
      </w:r>
      <w:r>
        <w:rPr>
          <w:spacing w:val="-11"/>
        </w:rPr>
        <w:t xml:space="preserve"> </w:t>
      </w:r>
      <w:r>
        <w:t>financed</w:t>
      </w:r>
      <w:r>
        <w:rPr>
          <w:spacing w:val="-8"/>
        </w:rPr>
        <w:t xml:space="preserve"> </w:t>
      </w:r>
      <w:r>
        <w:t>from the</w:t>
      </w:r>
      <w:r>
        <w:rPr>
          <w:spacing w:val="23"/>
        </w:rPr>
        <w:t xml:space="preserve"> </w:t>
      </w:r>
      <w:r>
        <w:t>GEF</w:t>
      </w:r>
      <w:r>
        <w:rPr>
          <w:spacing w:val="23"/>
        </w:rPr>
        <w:t xml:space="preserve"> </w:t>
      </w:r>
      <w:r>
        <w:t>project</w:t>
      </w:r>
      <w:r>
        <w:rPr>
          <w:spacing w:val="23"/>
        </w:rPr>
        <w:t xml:space="preserve"> </w:t>
      </w:r>
      <w:r>
        <w:t>grant</w:t>
      </w:r>
      <w:r>
        <w:rPr>
          <w:spacing w:val="24"/>
        </w:rPr>
        <w:t xml:space="preserve"> </w:t>
      </w:r>
      <w:r>
        <w:t>and/or</w:t>
      </w:r>
      <w:r>
        <w:rPr>
          <w:spacing w:val="21"/>
        </w:rPr>
        <w:t xml:space="preserve"> </w:t>
      </w:r>
      <w:r>
        <w:t>co-financing</w:t>
      </w:r>
      <w:r>
        <w:rPr>
          <w:spacing w:val="22"/>
        </w:rPr>
        <w:t xml:space="preserve"> </w:t>
      </w:r>
      <w:r>
        <w:t>sources.</w:t>
      </w:r>
      <w:r>
        <w:rPr>
          <w:spacing w:val="22"/>
        </w:rPr>
        <w:t xml:space="preserve"> </w:t>
      </w:r>
      <w:r>
        <w:t>PMC</w:t>
      </w:r>
      <w:r>
        <w:rPr>
          <w:spacing w:val="23"/>
        </w:rPr>
        <w:t xml:space="preserve"> </w:t>
      </w:r>
      <w:r>
        <w:t>is</w:t>
      </w:r>
      <w:r>
        <w:rPr>
          <w:spacing w:val="24"/>
        </w:rPr>
        <w:t xml:space="preserve"> </w:t>
      </w:r>
      <w:r>
        <w:t>capped</w:t>
      </w:r>
      <w:r>
        <w:rPr>
          <w:spacing w:val="23"/>
        </w:rPr>
        <w:t xml:space="preserve"> </w:t>
      </w:r>
      <w:r>
        <w:t>by</w:t>
      </w:r>
      <w:r>
        <w:rPr>
          <w:spacing w:val="24"/>
        </w:rPr>
        <w:t xml:space="preserve"> </w:t>
      </w:r>
      <w:r>
        <w:t>the</w:t>
      </w:r>
      <w:r>
        <w:rPr>
          <w:spacing w:val="22"/>
        </w:rPr>
        <w:t xml:space="preserve"> </w:t>
      </w:r>
      <w:r>
        <w:t>GEF</w:t>
      </w:r>
      <w:r>
        <w:rPr>
          <w:spacing w:val="20"/>
        </w:rPr>
        <w:t xml:space="preserve"> </w:t>
      </w:r>
      <w:r>
        <w:t>at</w:t>
      </w:r>
      <w:r>
        <w:rPr>
          <w:spacing w:val="25"/>
        </w:rPr>
        <w:t xml:space="preserve"> </w:t>
      </w:r>
      <w:r>
        <w:t>the</w:t>
      </w:r>
      <w:r>
        <w:rPr>
          <w:spacing w:val="23"/>
        </w:rPr>
        <w:t xml:space="preserve"> </w:t>
      </w:r>
      <w:r>
        <w:t>amount</w:t>
      </w:r>
      <w:r w:rsidR="00BE178F">
        <w:t xml:space="preserve"> </w:t>
      </w:r>
      <w:r>
        <w:t>approved, according to the percentage of the project budget and based on the GEF project size. This amount cannot be increased even when a project extension is approved. Any additional amount must be covered by non-GEF resources, such as cost-sharing or co-financing.</w:t>
      </w:r>
    </w:p>
    <w:p w14:paraId="269DF952" w14:textId="77777777" w:rsidR="00C23B76" w:rsidRDefault="00D65794">
      <w:pPr>
        <w:pStyle w:val="ListParagraph"/>
        <w:numPr>
          <w:ilvl w:val="1"/>
          <w:numId w:val="24"/>
        </w:numPr>
        <w:tabs>
          <w:tab w:val="left" w:pos="893"/>
        </w:tabs>
        <w:spacing w:before="121"/>
        <w:ind w:right="115"/>
        <w:jc w:val="both"/>
      </w:pPr>
      <w:r>
        <w:t>PMC activities should directly relate to project execution. The GEF has a specific policy on activities covered under PMC. See Annex 1 for</w:t>
      </w:r>
      <w:r>
        <w:rPr>
          <w:spacing w:val="-4"/>
        </w:rPr>
        <w:t xml:space="preserve"> </w:t>
      </w:r>
      <w:r>
        <w:t>details.</w:t>
      </w:r>
    </w:p>
    <w:p w14:paraId="269DF953" w14:textId="77777777" w:rsidR="00C23B76" w:rsidRDefault="00D65794">
      <w:pPr>
        <w:pStyle w:val="ListParagraph"/>
        <w:numPr>
          <w:ilvl w:val="1"/>
          <w:numId w:val="24"/>
        </w:numPr>
        <w:tabs>
          <w:tab w:val="left" w:pos="893"/>
        </w:tabs>
        <w:spacing w:before="118"/>
        <w:ind w:right="115"/>
        <w:jc w:val="both"/>
      </w:pPr>
      <w:r>
        <w:t>At the project submission stage, the estimated PMC amount should be indicated in the Project Identification Form</w:t>
      </w:r>
      <w:r>
        <w:rPr>
          <w:spacing w:val="-3"/>
        </w:rPr>
        <w:t xml:space="preserve"> </w:t>
      </w:r>
      <w:r>
        <w:t>(PIF):</w:t>
      </w:r>
    </w:p>
    <w:p w14:paraId="269DF954" w14:textId="77777777" w:rsidR="00C23B76" w:rsidRDefault="00D65794">
      <w:pPr>
        <w:pStyle w:val="ListParagraph"/>
        <w:numPr>
          <w:ilvl w:val="2"/>
          <w:numId w:val="24"/>
        </w:numPr>
        <w:tabs>
          <w:tab w:val="left" w:pos="1375"/>
        </w:tabs>
        <w:spacing w:before="121"/>
        <w:ind w:left="1324" w:right="115" w:hanging="504"/>
        <w:jc w:val="both"/>
      </w:pPr>
      <w:r>
        <w:rPr>
          <w:b/>
        </w:rPr>
        <w:t>Full-Sized</w:t>
      </w:r>
      <w:r>
        <w:rPr>
          <w:b/>
          <w:spacing w:val="-4"/>
        </w:rPr>
        <w:t xml:space="preserve"> </w:t>
      </w:r>
      <w:r>
        <w:rPr>
          <w:b/>
        </w:rPr>
        <w:t>Projects</w:t>
      </w:r>
      <w:r>
        <w:t>:</w:t>
      </w:r>
      <w:r>
        <w:rPr>
          <w:spacing w:val="-5"/>
        </w:rPr>
        <w:t xml:space="preserve"> </w:t>
      </w:r>
      <w:r>
        <w:t>PMCs</w:t>
      </w:r>
      <w:r>
        <w:rPr>
          <w:spacing w:val="-5"/>
        </w:rPr>
        <w:t xml:space="preserve"> </w:t>
      </w:r>
      <w:r>
        <w:t>shall</w:t>
      </w:r>
      <w:r>
        <w:rPr>
          <w:spacing w:val="-4"/>
        </w:rPr>
        <w:t xml:space="preserve"> </w:t>
      </w:r>
      <w:r>
        <w:t>not</w:t>
      </w:r>
      <w:r>
        <w:rPr>
          <w:spacing w:val="-5"/>
        </w:rPr>
        <w:t xml:space="preserve"> </w:t>
      </w:r>
      <w:r>
        <w:t>exceed</w:t>
      </w:r>
      <w:r>
        <w:rPr>
          <w:spacing w:val="-6"/>
        </w:rPr>
        <w:t xml:space="preserve"> </w:t>
      </w:r>
      <w:r>
        <w:t>5%</w:t>
      </w:r>
      <w:r>
        <w:rPr>
          <w:spacing w:val="-5"/>
        </w:rPr>
        <w:t xml:space="preserve"> </w:t>
      </w:r>
      <w:r>
        <w:t>of</w:t>
      </w:r>
      <w:r>
        <w:rPr>
          <w:spacing w:val="-6"/>
        </w:rPr>
        <w:t xml:space="preserve"> </w:t>
      </w:r>
      <w:r>
        <w:t>GEF</w:t>
      </w:r>
      <w:r>
        <w:rPr>
          <w:spacing w:val="-6"/>
        </w:rPr>
        <w:t xml:space="preserve"> </w:t>
      </w:r>
      <w:r>
        <w:t>project</w:t>
      </w:r>
      <w:r>
        <w:rPr>
          <w:spacing w:val="-3"/>
        </w:rPr>
        <w:t xml:space="preserve"> </w:t>
      </w:r>
      <w:r>
        <w:t>financing</w:t>
      </w:r>
      <w:r>
        <w:rPr>
          <w:spacing w:val="-4"/>
        </w:rPr>
        <w:t xml:space="preserve"> </w:t>
      </w:r>
      <w:r>
        <w:t>(which</w:t>
      </w:r>
      <w:r>
        <w:rPr>
          <w:spacing w:val="-4"/>
        </w:rPr>
        <w:t xml:space="preserve"> </w:t>
      </w:r>
      <w:r>
        <w:t>is</w:t>
      </w:r>
      <w:r>
        <w:rPr>
          <w:spacing w:val="-6"/>
        </w:rPr>
        <w:t xml:space="preserve"> </w:t>
      </w:r>
      <w:r>
        <w:t>above</w:t>
      </w:r>
      <w:r>
        <w:rPr>
          <w:spacing w:val="-3"/>
        </w:rPr>
        <w:t xml:space="preserve"> </w:t>
      </w:r>
      <w:r>
        <w:t>USD 2</w:t>
      </w:r>
      <w:r>
        <w:rPr>
          <w:spacing w:val="-2"/>
        </w:rPr>
        <w:t xml:space="preserve"> </w:t>
      </w:r>
      <w:r>
        <w:t>million).</w:t>
      </w:r>
    </w:p>
    <w:p w14:paraId="269DF955" w14:textId="77777777" w:rsidR="00C23B76" w:rsidRDefault="00D65794">
      <w:pPr>
        <w:pStyle w:val="ListParagraph"/>
        <w:numPr>
          <w:ilvl w:val="2"/>
          <w:numId w:val="24"/>
        </w:numPr>
        <w:tabs>
          <w:tab w:val="left" w:pos="1375"/>
        </w:tabs>
        <w:spacing w:before="120"/>
        <w:ind w:left="1324" w:right="116" w:hanging="504"/>
        <w:jc w:val="both"/>
      </w:pPr>
      <w:r>
        <w:rPr>
          <w:b/>
        </w:rPr>
        <w:t xml:space="preserve">Medium-Sized Projects and Enabling Activities: </w:t>
      </w:r>
      <w:r>
        <w:t>PMCs shall not exceed 10% of GEF project financing (which is up to USD 2</w:t>
      </w:r>
      <w:r>
        <w:rPr>
          <w:spacing w:val="-5"/>
        </w:rPr>
        <w:t xml:space="preserve"> </w:t>
      </w:r>
      <w:r>
        <w:t>million).</w:t>
      </w:r>
    </w:p>
    <w:p w14:paraId="269DF956" w14:textId="77777777" w:rsidR="00C23B76" w:rsidRDefault="00D65794">
      <w:pPr>
        <w:pStyle w:val="BodyText"/>
        <w:spacing w:before="122"/>
        <w:ind w:left="892" w:right="114"/>
        <w:jc w:val="both"/>
      </w:pPr>
      <w:r>
        <w:rPr>
          <w:b/>
        </w:rPr>
        <w:t xml:space="preserve">DIM </w:t>
      </w:r>
      <w:r>
        <w:t>– GEF may approve DIM modality under certain conditions. At submission stage, UNDP should</w:t>
      </w:r>
      <w:r>
        <w:rPr>
          <w:spacing w:val="-13"/>
        </w:rPr>
        <w:t xml:space="preserve"> </w:t>
      </w:r>
      <w:r>
        <w:t>provide</w:t>
      </w:r>
      <w:r>
        <w:rPr>
          <w:spacing w:val="-12"/>
        </w:rPr>
        <w:t xml:space="preserve"> </w:t>
      </w:r>
      <w:r>
        <w:t>a</w:t>
      </w:r>
      <w:r>
        <w:rPr>
          <w:spacing w:val="-14"/>
        </w:rPr>
        <w:t xml:space="preserve"> </w:t>
      </w:r>
      <w:r>
        <w:t>strong</w:t>
      </w:r>
      <w:r>
        <w:rPr>
          <w:spacing w:val="-11"/>
        </w:rPr>
        <w:t xml:space="preserve"> </w:t>
      </w:r>
      <w:r>
        <w:t>justification</w:t>
      </w:r>
      <w:r>
        <w:rPr>
          <w:spacing w:val="-15"/>
        </w:rPr>
        <w:t xml:space="preserve"> </w:t>
      </w:r>
      <w:r>
        <w:t>that</w:t>
      </w:r>
      <w:r>
        <w:rPr>
          <w:spacing w:val="-13"/>
        </w:rPr>
        <w:t xml:space="preserve"> </w:t>
      </w:r>
      <w:r>
        <w:t>project</w:t>
      </w:r>
      <w:r>
        <w:rPr>
          <w:spacing w:val="-12"/>
        </w:rPr>
        <w:t xml:space="preserve"> </w:t>
      </w:r>
      <w:r>
        <w:t>oversight</w:t>
      </w:r>
      <w:r>
        <w:rPr>
          <w:spacing w:val="-10"/>
        </w:rPr>
        <w:t xml:space="preserve"> </w:t>
      </w:r>
      <w:r>
        <w:t>covered</w:t>
      </w:r>
      <w:r>
        <w:rPr>
          <w:spacing w:val="-11"/>
        </w:rPr>
        <w:t xml:space="preserve"> </w:t>
      </w:r>
      <w:r>
        <w:t>by</w:t>
      </w:r>
      <w:r>
        <w:rPr>
          <w:spacing w:val="-12"/>
        </w:rPr>
        <w:t xml:space="preserve"> </w:t>
      </w:r>
      <w:r>
        <w:t>the</w:t>
      </w:r>
      <w:r>
        <w:rPr>
          <w:spacing w:val="-14"/>
        </w:rPr>
        <w:t xml:space="preserve"> </w:t>
      </w:r>
      <w:r>
        <w:t>GEF</w:t>
      </w:r>
      <w:r>
        <w:rPr>
          <w:spacing w:val="-11"/>
        </w:rPr>
        <w:t xml:space="preserve"> </w:t>
      </w:r>
      <w:r>
        <w:t>Fee,</w:t>
      </w:r>
      <w:r>
        <w:rPr>
          <w:spacing w:val="-14"/>
        </w:rPr>
        <w:t xml:space="preserve"> </w:t>
      </w:r>
      <w:r>
        <w:t>and</w:t>
      </w:r>
      <w:r>
        <w:rPr>
          <w:spacing w:val="-11"/>
        </w:rPr>
        <w:t xml:space="preserve"> </w:t>
      </w:r>
      <w:r>
        <w:t>execution functions covered by PMC are separated through internal controls with clear lines of responsibility, reporting, and accountability between both</w:t>
      </w:r>
      <w:r>
        <w:rPr>
          <w:spacing w:val="-5"/>
        </w:rPr>
        <w:t xml:space="preserve"> </w:t>
      </w:r>
      <w:r>
        <w:t>functions.</w:t>
      </w:r>
    </w:p>
    <w:p w14:paraId="269DF957" w14:textId="77777777" w:rsidR="00C23B76" w:rsidRDefault="00C23B76">
      <w:pPr>
        <w:pStyle w:val="BodyText"/>
        <w:spacing w:before="10"/>
        <w:rPr>
          <w:sz w:val="21"/>
        </w:rPr>
      </w:pPr>
    </w:p>
    <w:p w14:paraId="269DF958" w14:textId="77777777" w:rsidR="00C23B76" w:rsidRDefault="00D65794">
      <w:pPr>
        <w:pStyle w:val="Heading1"/>
        <w:numPr>
          <w:ilvl w:val="1"/>
          <w:numId w:val="24"/>
        </w:numPr>
        <w:tabs>
          <w:tab w:val="left" w:pos="893"/>
        </w:tabs>
        <w:spacing w:before="1"/>
        <w:ind w:hanging="433"/>
        <w:jc w:val="both"/>
      </w:pPr>
      <w:r>
        <w:t>Exceptions on UNDP Support</w:t>
      </w:r>
      <w:r>
        <w:rPr>
          <w:spacing w:val="-17"/>
        </w:rPr>
        <w:t xml:space="preserve"> </w:t>
      </w:r>
      <w:r>
        <w:t>Services</w:t>
      </w:r>
    </w:p>
    <w:p w14:paraId="269DF959" w14:textId="77777777" w:rsidR="00C23B76" w:rsidRDefault="00D65794">
      <w:pPr>
        <w:pStyle w:val="ListParagraph"/>
        <w:numPr>
          <w:ilvl w:val="2"/>
          <w:numId w:val="24"/>
        </w:numPr>
        <w:tabs>
          <w:tab w:val="left" w:pos="1375"/>
        </w:tabs>
        <w:ind w:left="1324" w:right="113" w:hanging="504"/>
        <w:jc w:val="both"/>
      </w:pPr>
      <w:r>
        <w:t xml:space="preserve">If the GEF Secretariat approves UNDP execution support (i.e. UNDP support services) the costs of this support must be included in the GEF project PMC budget. </w:t>
      </w:r>
      <w:r>
        <w:rPr>
          <w:color w:val="0000FF"/>
        </w:rPr>
        <w:t>The PMC budget is capped, and expenses cannot exceed the GEF approved amount throughout the project’s duration.</w:t>
      </w:r>
    </w:p>
    <w:p w14:paraId="269DF95A" w14:textId="77777777" w:rsidR="00C23B76" w:rsidRDefault="00C23B76">
      <w:pPr>
        <w:pStyle w:val="BodyText"/>
        <w:spacing w:before="3"/>
      </w:pPr>
    </w:p>
    <w:p w14:paraId="269DF95B" w14:textId="77777777" w:rsidR="00C23B76" w:rsidRDefault="00D65794">
      <w:pPr>
        <w:pStyle w:val="Heading1"/>
        <w:numPr>
          <w:ilvl w:val="0"/>
          <w:numId w:val="24"/>
        </w:numPr>
        <w:tabs>
          <w:tab w:val="left" w:pos="821"/>
        </w:tabs>
        <w:ind w:left="820" w:hanging="361"/>
        <w:jc w:val="both"/>
      </w:pPr>
      <w:bookmarkStart w:id="5" w:name="5._Budgeting_and_eligibility_of_Expendit"/>
      <w:bookmarkEnd w:id="5"/>
      <w:r>
        <w:t>Budgeting and eligibility of</w:t>
      </w:r>
      <w:r>
        <w:rPr>
          <w:spacing w:val="-5"/>
        </w:rPr>
        <w:t xml:space="preserve"> </w:t>
      </w:r>
      <w:r>
        <w:t>Expenditures</w:t>
      </w:r>
    </w:p>
    <w:p w14:paraId="269DF95C" w14:textId="77777777" w:rsidR="00C23B76" w:rsidRDefault="00C23B76">
      <w:pPr>
        <w:pStyle w:val="BodyText"/>
        <w:spacing w:before="11"/>
        <w:rPr>
          <w:b/>
          <w:sz w:val="31"/>
        </w:rPr>
      </w:pPr>
    </w:p>
    <w:p w14:paraId="269DF95D" w14:textId="77777777" w:rsidR="00C23B76" w:rsidRDefault="00D65794">
      <w:pPr>
        <w:pStyle w:val="ListParagraph"/>
        <w:numPr>
          <w:ilvl w:val="1"/>
          <w:numId w:val="24"/>
        </w:numPr>
        <w:tabs>
          <w:tab w:val="left" w:pos="893"/>
        </w:tabs>
        <w:ind w:right="113"/>
        <w:jc w:val="both"/>
      </w:pPr>
      <w:r>
        <w:t>Expenditures</w:t>
      </w:r>
      <w:r>
        <w:rPr>
          <w:spacing w:val="-9"/>
        </w:rPr>
        <w:t xml:space="preserve"> </w:t>
      </w:r>
      <w:r>
        <w:t>of</w:t>
      </w:r>
      <w:r>
        <w:rPr>
          <w:spacing w:val="-6"/>
        </w:rPr>
        <w:t xml:space="preserve"> </w:t>
      </w:r>
      <w:r>
        <w:t>GEF-financed</w:t>
      </w:r>
      <w:r>
        <w:rPr>
          <w:spacing w:val="-6"/>
        </w:rPr>
        <w:t xml:space="preserve"> </w:t>
      </w:r>
      <w:r>
        <w:t>projects</w:t>
      </w:r>
      <w:r>
        <w:rPr>
          <w:spacing w:val="-6"/>
        </w:rPr>
        <w:t xml:space="preserve"> </w:t>
      </w:r>
      <w:r>
        <w:t>are</w:t>
      </w:r>
      <w:r>
        <w:rPr>
          <w:spacing w:val="-9"/>
        </w:rPr>
        <w:t xml:space="preserve"> </w:t>
      </w:r>
      <w:r>
        <w:t>eligible</w:t>
      </w:r>
      <w:r>
        <w:rPr>
          <w:spacing w:val="-8"/>
        </w:rPr>
        <w:t xml:space="preserve"> </w:t>
      </w:r>
      <w:r>
        <w:t>if</w:t>
      </w:r>
      <w:r>
        <w:rPr>
          <w:spacing w:val="-8"/>
        </w:rPr>
        <w:t xml:space="preserve"> </w:t>
      </w:r>
      <w:r>
        <w:t>they</w:t>
      </w:r>
      <w:r>
        <w:rPr>
          <w:spacing w:val="-7"/>
        </w:rPr>
        <w:t xml:space="preserve"> </w:t>
      </w:r>
      <w:r>
        <w:t>were</w:t>
      </w:r>
      <w:r>
        <w:rPr>
          <w:spacing w:val="-8"/>
        </w:rPr>
        <w:t xml:space="preserve"> </w:t>
      </w:r>
      <w:r>
        <w:t>budgeted</w:t>
      </w:r>
      <w:r>
        <w:rPr>
          <w:spacing w:val="-8"/>
        </w:rPr>
        <w:t xml:space="preserve"> </w:t>
      </w:r>
      <w:r>
        <w:t>in</w:t>
      </w:r>
      <w:r>
        <w:rPr>
          <w:spacing w:val="-9"/>
        </w:rPr>
        <w:t xml:space="preserve"> </w:t>
      </w:r>
      <w:r>
        <w:t>the</w:t>
      </w:r>
      <w:r>
        <w:rPr>
          <w:spacing w:val="-8"/>
        </w:rPr>
        <w:t xml:space="preserve"> </w:t>
      </w:r>
      <w:r>
        <w:t>TBWP</w:t>
      </w:r>
      <w:r>
        <w:rPr>
          <w:spacing w:val="-7"/>
        </w:rPr>
        <w:t xml:space="preserve"> </w:t>
      </w:r>
      <w:r>
        <w:t>at</w:t>
      </w:r>
      <w:r>
        <w:rPr>
          <w:spacing w:val="-9"/>
        </w:rPr>
        <w:t xml:space="preserve"> </w:t>
      </w:r>
      <w:r>
        <w:t>the</w:t>
      </w:r>
      <w:r>
        <w:rPr>
          <w:spacing w:val="-10"/>
        </w:rPr>
        <w:t xml:space="preserve"> </w:t>
      </w:r>
      <w:r>
        <w:t>time of CEO endorsement/approval, and were budgeted in the UNDP multi-year Work Plans (AWPs) and cleared/approved by the BPPS NCE-VF</w:t>
      </w:r>
      <w:r>
        <w:rPr>
          <w:spacing w:val="-8"/>
        </w:rPr>
        <w:t xml:space="preserve"> </w:t>
      </w:r>
      <w:r>
        <w:t>team.</w:t>
      </w:r>
    </w:p>
    <w:p w14:paraId="269DF95E" w14:textId="77777777" w:rsidR="00C23B76" w:rsidRPr="003015EE" w:rsidRDefault="00D65794">
      <w:pPr>
        <w:pStyle w:val="ListParagraph"/>
        <w:numPr>
          <w:ilvl w:val="1"/>
          <w:numId w:val="24"/>
        </w:numPr>
        <w:tabs>
          <w:tab w:val="left" w:pos="893"/>
        </w:tabs>
        <w:spacing w:before="121"/>
        <w:ind w:right="112"/>
        <w:jc w:val="both"/>
      </w:pPr>
      <w:r w:rsidRPr="003015EE">
        <w:t>As required by the Delegation of Authority letter from the Executive Coordinator of the UNDP BPPS</w:t>
      </w:r>
      <w:r w:rsidRPr="003015EE">
        <w:rPr>
          <w:spacing w:val="-9"/>
        </w:rPr>
        <w:t xml:space="preserve"> </w:t>
      </w:r>
      <w:r w:rsidRPr="003015EE">
        <w:t>NCE-VF</w:t>
      </w:r>
      <w:r w:rsidRPr="003015EE">
        <w:rPr>
          <w:spacing w:val="-6"/>
        </w:rPr>
        <w:t xml:space="preserve"> </w:t>
      </w:r>
      <w:r w:rsidRPr="003015EE">
        <w:t>Unit</w:t>
      </w:r>
      <w:r w:rsidRPr="003015EE">
        <w:rPr>
          <w:spacing w:val="-9"/>
        </w:rPr>
        <w:t xml:space="preserve"> </w:t>
      </w:r>
      <w:r w:rsidRPr="003015EE">
        <w:t>to</w:t>
      </w:r>
      <w:r w:rsidRPr="003015EE">
        <w:rPr>
          <w:spacing w:val="-6"/>
        </w:rPr>
        <w:t xml:space="preserve"> </w:t>
      </w:r>
      <w:r w:rsidRPr="003015EE">
        <w:t>Resident</w:t>
      </w:r>
      <w:r w:rsidRPr="003015EE">
        <w:rPr>
          <w:spacing w:val="-5"/>
        </w:rPr>
        <w:t xml:space="preserve"> </w:t>
      </w:r>
      <w:r w:rsidRPr="003015EE">
        <w:t>Representatives</w:t>
      </w:r>
      <w:r w:rsidRPr="003015EE">
        <w:rPr>
          <w:spacing w:val="-8"/>
        </w:rPr>
        <w:t xml:space="preserve"> </w:t>
      </w:r>
      <w:r w:rsidRPr="003015EE">
        <w:t>(RRs)</w:t>
      </w:r>
      <w:r w:rsidRPr="003015EE">
        <w:rPr>
          <w:spacing w:val="-8"/>
        </w:rPr>
        <w:t xml:space="preserve"> </w:t>
      </w:r>
      <w:r w:rsidRPr="003015EE">
        <w:t>of</w:t>
      </w:r>
      <w:r w:rsidRPr="003015EE">
        <w:rPr>
          <w:spacing w:val="-8"/>
        </w:rPr>
        <w:t xml:space="preserve"> </w:t>
      </w:r>
      <w:r w:rsidRPr="003015EE">
        <w:t>COs,</w:t>
      </w:r>
      <w:r w:rsidRPr="003015EE">
        <w:rPr>
          <w:spacing w:val="-6"/>
        </w:rPr>
        <w:t xml:space="preserve"> </w:t>
      </w:r>
      <w:r w:rsidRPr="003015EE">
        <w:t>UNDP</w:t>
      </w:r>
      <w:r w:rsidRPr="003015EE">
        <w:rPr>
          <w:spacing w:val="-7"/>
        </w:rPr>
        <w:t xml:space="preserve"> </w:t>
      </w:r>
      <w:r w:rsidRPr="003015EE">
        <w:t>offices/Units</w:t>
      </w:r>
      <w:r w:rsidRPr="003015EE">
        <w:rPr>
          <w:spacing w:val="-6"/>
        </w:rPr>
        <w:t xml:space="preserve"> </w:t>
      </w:r>
      <w:r w:rsidRPr="003015EE">
        <w:t>acting</w:t>
      </w:r>
      <w:r w:rsidRPr="003015EE">
        <w:rPr>
          <w:spacing w:val="-6"/>
        </w:rPr>
        <w:t xml:space="preserve"> </w:t>
      </w:r>
      <w:r w:rsidRPr="003015EE">
        <w:t>as</w:t>
      </w:r>
      <w:r w:rsidRPr="003015EE">
        <w:rPr>
          <w:spacing w:val="-6"/>
        </w:rPr>
        <w:t xml:space="preserve"> </w:t>
      </w:r>
      <w:r w:rsidRPr="003015EE">
        <w:t>Project Business Units must submit budget revisions to BPPS NCE-VF for clearance. The Regional Technical Advisor (RTA) clears multi-year AWPs based on the TBWP of the Project Document for the allocation of Authorized Spending Limit (ASL). Any deviation from the TBWP must be approved</w:t>
      </w:r>
      <w:r w:rsidRPr="003015EE">
        <w:rPr>
          <w:spacing w:val="-9"/>
        </w:rPr>
        <w:t xml:space="preserve"> </w:t>
      </w:r>
      <w:r w:rsidRPr="003015EE">
        <w:t>by</w:t>
      </w:r>
      <w:r w:rsidRPr="003015EE">
        <w:rPr>
          <w:spacing w:val="-5"/>
        </w:rPr>
        <w:t xml:space="preserve"> </w:t>
      </w:r>
      <w:r w:rsidRPr="003015EE">
        <w:t>BPPS</w:t>
      </w:r>
      <w:r w:rsidRPr="003015EE">
        <w:rPr>
          <w:spacing w:val="-7"/>
        </w:rPr>
        <w:t xml:space="preserve"> </w:t>
      </w:r>
      <w:r w:rsidRPr="003015EE">
        <w:t>NCE-VF</w:t>
      </w:r>
      <w:r w:rsidRPr="003015EE">
        <w:rPr>
          <w:spacing w:val="-9"/>
        </w:rPr>
        <w:t xml:space="preserve"> </w:t>
      </w:r>
      <w:r w:rsidRPr="003015EE">
        <w:t>based</w:t>
      </w:r>
      <w:r w:rsidRPr="003015EE">
        <w:rPr>
          <w:spacing w:val="-6"/>
        </w:rPr>
        <w:t xml:space="preserve"> </w:t>
      </w:r>
      <w:r w:rsidRPr="003015EE">
        <w:t>on</w:t>
      </w:r>
      <w:r w:rsidRPr="003015EE">
        <w:rPr>
          <w:spacing w:val="-7"/>
        </w:rPr>
        <w:t xml:space="preserve"> </w:t>
      </w:r>
      <w:r w:rsidRPr="003015EE">
        <w:t>justification</w:t>
      </w:r>
      <w:r w:rsidRPr="003015EE">
        <w:rPr>
          <w:spacing w:val="-6"/>
        </w:rPr>
        <w:t xml:space="preserve"> </w:t>
      </w:r>
      <w:r w:rsidRPr="003015EE">
        <w:t>and</w:t>
      </w:r>
      <w:r w:rsidRPr="003015EE">
        <w:rPr>
          <w:spacing w:val="-6"/>
        </w:rPr>
        <w:t xml:space="preserve"> </w:t>
      </w:r>
      <w:r w:rsidRPr="003015EE">
        <w:t>assurance</w:t>
      </w:r>
      <w:r w:rsidRPr="003015EE">
        <w:rPr>
          <w:spacing w:val="-5"/>
        </w:rPr>
        <w:t xml:space="preserve"> </w:t>
      </w:r>
      <w:r w:rsidRPr="003015EE">
        <w:t>from</w:t>
      </w:r>
      <w:r w:rsidRPr="003015EE">
        <w:rPr>
          <w:spacing w:val="-4"/>
        </w:rPr>
        <w:t xml:space="preserve"> </w:t>
      </w:r>
      <w:r w:rsidRPr="003015EE">
        <w:t>the</w:t>
      </w:r>
      <w:r w:rsidRPr="003015EE">
        <w:rPr>
          <w:spacing w:val="-9"/>
        </w:rPr>
        <w:t xml:space="preserve"> </w:t>
      </w:r>
      <w:r w:rsidRPr="003015EE">
        <w:t>Project</w:t>
      </w:r>
      <w:r w:rsidRPr="003015EE">
        <w:rPr>
          <w:spacing w:val="-7"/>
        </w:rPr>
        <w:t xml:space="preserve"> </w:t>
      </w:r>
      <w:r w:rsidRPr="003015EE">
        <w:t>Manager/IP</w:t>
      </w:r>
      <w:r w:rsidRPr="003015EE">
        <w:rPr>
          <w:spacing w:val="-5"/>
        </w:rPr>
        <w:t xml:space="preserve"> </w:t>
      </w:r>
      <w:r w:rsidRPr="003015EE">
        <w:t>and the CO that the revision is within the budget tolerance approved by the Project Board, and complies with re-allocation and new budgetary item thresholds, as noted in the UNDP-GEF Project Document (financed by Global Environment Facility). Any deviations will risk UNDPs accreditation status with the</w:t>
      </w:r>
      <w:r w:rsidRPr="003015EE">
        <w:rPr>
          <w:spacing w:val="-2"/>
        </w:rPr>
        <w:t xml:space="preserve"> </w:t>
      </w:r>
      <w:r w:rsidRPr="003015EE">
        <w:t>GEF.</w:t>
      </w:r>
    </w:p>
    <w:p w14:paraId="269DF95F" w14:textId="77777777" w:rsidR="00C23B76" w:rsidRDefault="00C23B76">
      <w:pPr>
        <w:pStyle w:val="BodyText"/>
        <w:spacing w:before="1"/>
      </w:pPr>
    </w:p>
    <w:p w14:paraId="269DF960" w14:textId="77777777" w:rsidR="00C23B76" w:rsidRDefault="00D65794">
      <w:pPr>
        <w:pStyle w:val="ListParagraph"/>
        <w:numPr>
          <w:ilvl w:val="1"/>
          <w:numId w:val="24"/>
        </w:numPr>
        <w:tabs>
          <w:tab w:val="left" w:pos="893"/>
        </w:tabs>
        <w:ind w:right="111"/>
        <w:jc w:val="both"/>
      </w:pPr>
      <w:r>
        <w:t>Budget notes of the TBWP must detail the expenses to be incurred, especially those related to transportation</w:t>
      </w:r>
      <w:r>
        <w:rPr>
          <w:spacing w:val="-9"/>
        </w:rPr>
        <w:t xml:space="preserve"> </w:t>
      </w:r>
      <w:r>
        <w:t>equipment,</w:t>
      </w:r>
      <w:r>
        <w:rPr>
          <w:spacing w:val="-8"/>
        </w:rPr>
        <w:t xml:space="preserve"> </w:t>
      </w:r>
      <w:r>
        <w:t>grants</w:t>
      </w:r>
      <w:r>
        <w:rPr>
          <w:spacing w:val="-5"/>
        </w:rPr>
        <w:t xml:space="preserve"> </w:t>
      </w:r>
      <w:r>
        <w:t>(indicating</w:t>
      </w:r>
      <w:r>
        <w:rPr>
          <w:spacing w:val="-9"/>
        </w:rPr>
        <w:t xml:space="preserve"> </w:t>
      </w:r>
      <w:r>
        <w:t>that</w:t>
      </w:r>
      <w:r>
        <w:rPr>
          <w:spacing w:val="-8"/>
        </w:rPr>
        <w:t xml:space="preserve"> </w:t>
      </w:r>
      <w:r>
        <w:t>they</w:t>
      </w:r>
      <w:r>
        <w:rPr>
          <w:spacing w:val="-8"/>
        </w:rPr>
        <w:t xml:space="preserve"> </w:t>
      </w:r>
      <w:r>
        <w:t>will</w:t>
      </w:r>
      <w:r>
        <w:rPr>
          <w:spacing w:val="-6"/>
        </w:rPr>
        <w:t xml:space="preserve"> </w:t>
      </w:r>
      <w:r>
        <w:t>follow</w:t>
      </w:r>
      <w:r>
        <w:rPr>
          <w:spacing w:val="-5"/>
        </w:rPr>
        <w:t xml:space="preserve"> </w:t>
      </w:r>
      <w:r>
        <w:t>UNDP</w:t>
      </w:r>
      <w:r>
        <w:rPr>
          <w:spacing w:val="-6"/>
        </w:rPr>
        <w:t xml:space="preserve"> </w:t>
      </w:r>
      <w:r>
        <w:t>guidelines</w:t>
      </w:r>
      <w:r>
        <w:rPr>
          <w:spacing w:val="-7"/>
        </w:rPr>
        <w:t xml:space="preserve"> </w:t>
      </w:r>
      <w:r>
        <w:t>on</w:t>
      </w:r>
      <w:r>
        <w:rPr>
          <w:spacing w:val="-9"/>
        </w:rPr>
        <w:t xml:space="preserve"> </w:t>
      </w:r>
      <w:r>
        <w:t>Low-Value Grants) and audit</w:t>
      </w:r>
      <w:r>
        <w:rPr>
          <w:spacing w:val="-4"/>
        </w:rPr>
        <w:t xml:space="preserve"> </w:t>
      </w:r>
      <w:r>
        <w:t>expenses.</w:t>
      </w:r>
    </w:p>
    <w:p w14:paraId="269DF961" w14:textId="77777777" w:rsidR="00C23B76" w:rsidRDefault="00C23B76">
      <w:pPr>
        <w:pStyle w:val="BodyText"/>
        <w:spacing w:before="11"/>
        <w:rPr>
          <w:sz w:val="21"/>
        </w:rPr>
      </w:pPr>
    </w:p>
    <w:p w14:paraId="269DF962" w14:textId="77777777" w:rsidR="00C23B76" w:rsidRDefault="00D65794">
      <w:pPr>
        <w:pStyle w:val="ListParagraph"/>
        <w:numPr>
          <w:ilvl w:val="1"/>
          <w:numId w:val="24"/>
        </w:numPr>
        <w:tabs>
          <w:tab w:val="left" w:pos="893"/>
        </w:tabs>
        <w:ind w:right="113"/>
        <w:jc w:val="both"/>
      </w:pPr>
      <w:r>
        <w:t xml:space="preserve">Expenditures should be based on a Procurement Plan submitted with the multi-year AWPs for clearance to the BPPS NCE-VF unit. A Procurement Plan is mandatory for clearance of AWPs for </w:t>
      </w:r>
      <w:r>
        <w:lastRenderedPageBreak/>
        <w:t>ASL allocation.</w:t>
      </w:r>
    </w:p>
    <w:p w14:paraId="269DF964" w14:textId="77777777" w:rsidR="00C23B76" w:rsidRDefault="00D65794">
      <w:pPr>
        <w:pStyle w:val="ListParagraph"/>
        <w:numPr>
          <w:ilvl w:val="1"/>
          <w:numId w:val="24"/>
        </w:numPr>
        <w:tabs>
          <w:tab w:val="left" w:pos="893"/>
        </w:tabs>
        <w:spacing w:before="90"/>
        <w:ind w:right="112"/>
        <w:jc w:val="both"/>
      </w:pPr>
      <w:r>
        <w:t>Utilization of GEF resources must comply with UNDP Programme and Operations Policies and Procedures (POPP), other applicable policies, the approved UNDP-GEF Project Document (financed by Global Environment Facility), and GEF policies and</w:t>
      </w:r>
      <w:r>
        <w:rPr>
          <w:spacing w:val="-5"/>
        </w:rPr>
        <w:t xml:space="preserve"> </w:t>
      </w:r>
      <w:r>
        <w:t>guidance.</w:t>
      </w:r>
    </w:p>
    <w:p w14:paraId="269DF965" w14:textId="77777777" w:rsidR="00C23B76" w:rsidRDefault="00D65794">
      <w:pPr>
        <w:pStyle w:val="ListParagraph"/>
        <w:numPr>
          <w:ilvl w:val="1"/>
          <w:numId w:val="24"/>
        </w:numPr>
        <w:tabs>
          <w:tab w:val="left" w:pos="893"/>
        </w:tabs>
        <w:spacing w:before="123" w:line="237" w:lineRule="auto"/>
        <w:ind w:right="113"/>
        <w:jc w:val="both"/>
      </w:pPr>
      <w:r>
        <w:rPr>
          <w:u w:val="single"/>
        </w:rPr>
        <w:t>GEF</w:t>
      </w:r>
      <w:r>
        <w:rPr>
          <w:spacing w:val="-5"/>
          <w:u w:val="single"/>
        </w:rPr>
        <w:t xml:space="preserve"> </w:t>
      </w:r>
      <w:r>
        <w:rPr>
          <w:u w:val="single"/>
        </w:rPr>
        <w:t>financing</w:t>
      </w:r>
      <w:r>
        <w:rPr>
          <w:spacing w:val="-4"/>
          <w:u w:val="single"/>
        </w:rPr>
        <w:t xml:space="preserve"> </w:t>
      </w:r>
      <w:r>
        <w:rPr>
          <w:u w:val="single"/>
        </w:rPr>
        <w:t>is</w:t>
      </w:r>
      <w:r>
        <w:rPr>
          <w:spacing w:val="-3"/>
          <w:u w:val="single"/>
        </w:rPr>
        <w:t xml:space="preserve"> </w:t>
      </w:r>
      <w:r>
        <w:rPr>
          <w:u w:val="single"/>
        </w:rPr>
        <w:t>capped</w:t>
      </w:r>
      <w:r>
        <w:rPr>
          <w:spacing w:val="-4"/>
          <w:u w:val="single"/>
        </w:rPr>
        <w:t xml:space="preserve"> </w:t>
      </w:r>
      <w:r>
        <w:rPr>
          <w:u w:val="single"/>
        </w:rPr>
        <w:t>and</w:t>
      </w:r>
      <w:r>
        <w:rPr>
          <w:spacing w:val="-4"/>
          <w:u w:val="single"/>
        </w:rPr>
        <w:t xml:space="preserve"> </w:t>
      </w:r>
      <w:r>
        <w:rPr>
          <w:u w:val="single"/>
        </w:rPr>
        <w:t>does</w:t>
      </w:r>
      <w:r>
        <w:rPr>
          <w:spacing w:val="-2"/>
          <w:u w:val="single"/>
        </w:rPr>
        <w:t xml:space="preserve"> </w:t>
      </w:r>
      <w:r>
        <w:rPr>
          <w:u w:val="single"/>
        </w:rPr>
        <w:t>not</w:t>
      </w:r>
      <w:r>
        <w:rPr>
          <w:spacing w:val="-3"/>
          <w:u w:val="single"/>
        </w:rPr>
        <w:t xml:space="preserve"> </w:t>
      </w:r>
      <w:r>
        <w:rPr>
          <w:u w:val="single"/>
        </w:rPr>
        <w:t>permit</w:t>
      </w:r>
      <w:r>
        <w:rPr>
          <w:spacing w:val="-6"/>
          <w:u w:val="single"/>
        </w:rPr>
        <w:t xml:space="preserve"> </w:t>
      </w:r>
      <w:r>
        <w:rPr>
          <w:u w:val="single"/>
        </w:rPr>
        <w:t>over-spending.</w:t>
      </w:r>
      <w:r>
        <w:rPr>
          <w:spacing w:val="-4"/>
        </w:rPr>
        <w:t xml:space="preserve"> </w:t>
      </w:r>
      <w:r>
        <w:t>COs</w:t>
      </w:r>
      <w:r>
        <w:rPr>
          <w:spacing w:val="-3"/>
        </w:rPr>
        <w:t xml:space="preserve"> </w:t>
      </w:r>
      <w:r>
        <w:t>must</w:t>
      </w:r>
      <w:r>
        <w:rPr>
          <w:spacing w:val="-5"/>
        </w:rPr>
        <w:t xml:space="preserve"> </w:t>
      </w:r>
      <w:r>
        <w:t>absorb</w:t>
      </w:r>
      <w:r>
        <w:rPr>
          <w:spacing w:val="-6"/>
        </w:rPr>
        <w:t xml:space="preserve"> </w:t>
      </w:r>
      <w:r>
        <w:t>over</w:t>
      </w:r>
      <w:r>
        <w:rPr>
          <w:spacing w:val="-4"/>
        </w:rPr>
        <w:t xml:space="preserve"> </w:t>
      </w:r>
      <w:r>
        <w:t>expenditures from non-GEF</w:t>
      </w:r>
      <w:r>
        <w:rPr>
          <w:spacing w:val="-6"/>
        </w:rPr>
        <w:t xml:space="preserve"> </w:t>
      </w:r>
      <w:r>
        <w:t>resources.</w:t>
      </w:r>
    </w:p>
    <w:p w14:paraId="269DF966" w14:textId="77777777" w:rsidR="00C23B76" w:rsidRDefault="00C23B76">
      <w:pPr>
        <w:pStyle w:val="BodyText"/>
        <w:spacing w:before="4"/>
        <w:rPr>
          <w:sz w:val="24"/>
        </w:rPr>
      </w:pPr>
    </w:p>
    <w:p w14:paraId="269DF967" w14:textId="77777777" w:rsidR="00C23B76" w:rsidRDefault="00D65794">
      <w:pPr>
        <w:pStyle w:val="Heading1"/>
        <w:numPr>
          <w:ilvl w:val="0"/>
          <w:numId w:val="24"/>
        </w:numPr>
        <w:tabs>
          <w:tab w:val="left" w:pos="821"/>
        </w:tabs>
        <w:ind w:left="820" w:hanging="361"/>
        <w:jc w:val="left"/>
      </w:pPr>
      <w:r>
        <w:t>Ineligible expenditures/transactions:</w:t>
      </w:r>
      <w:r>
        <w:rPr>
          <w:spacing w:val="-5"/>
        </w:rPr>
        <w:t xml:space="preserve"> </w:t>
      </w:r>
      <w:r>
        <w:t>include:</w:t>
      </w:r>
    </w:p>
    <w:p w14:paraId="269DF968" w14:textId="77777777" w:rsidR="00C23B76" w:rsidRDefault="00D65794">
      <w:pPr>
        <w:pStyle w:val="ListParagraph"/>
        <w:numPr>
          <w:ilvl w:val="1"/>
          <w:numId w:val="24"/>
        </w:numPr>
        <w:tabs>
          <w:tab w:val="left" w:pos="893"/>
        </w:tabs>
        <w:spacing w:before="118"/>
        <w:ind w:right="112"/>
        <w:jc w:val="both"/>
      </w:pPr>
      <w:r>
        <w:t>Expenditures that do not align with the provisions of the signed UNDP-GEF Project Document (financed by Global Environment Facility) (which was endorsed/approved by the GEF</w:t>
      </w:r>
      <w:r>
        <w:rPr>
          <w:spacing w:val="-19"/>
        </w:rPr>
        <w:t xml:space="preserve"> </w:t>
      </w:r>
      <w:r>
        <w:t>CEO).</w:t>
      </w:r>
    </w:p>
    <w:p w14:paraId="269DF969" w14:textId="77777777" w:rsidR="00C23B76" w:rsidRDefault="00C23B76">
      <w:pPr>
        <w:pStyle w:val="BodyText"/>
      </w:pPr>
    </w:p>
    <w:p w14:paraId="269DF96A" w14:textId="77777777" w:rsidR="00C23B76" w:rsidRDefault="00D65794">
      <w:pPr>
        <w:pStyle w:val="ListParagraph"/>
        <w:numPr>
          <w:ilvl w:val="1"/>
          <w:numId w:val="24"/>
        </w:numPr>
        <w:tabs>
          <w:tab w:val="left" w:pos="893"/>
        </w:tabs>
        <w:spacing w:before="1"/>
        <w:ind w:right="113"/>
        <w:jc w:val="both"/>
      </w:pPr>
      <w:r>
        <w:t>Costs relating to UNDP quality assurance and oversight functions, and any other activities involved in the GEF Project Cycle Management Services, which have already been paid by the GEF</w:t>
      </w:r>
      <w:r>
        <w:rPr>
          <w:spacing w:val="-9"/>
        </w:rPr>
        <w:t xml:space="preserve"> </w:t>
      </w:r>
      <w:r>
        <w:t>to</w:t>
      </w:r>
      <w:r>
        <w:rPr>
          <w:spacing w:val="-5"/>
        </w:rPr>
        <w:t xml:space="preserve"> </w:t>
      </w:r>
      <w:r>
        <w:t>UNDP</w:t>
      </w:r>
      <w:r>
        <w:rPr>
          <w:spacing w:val="-8"/>
        </w:rPr>
        <w:t xml:space="preserve"> </w:t>
      </w:r>
      <w:r>
        <w:t>in</w:t>
      </w:r>
      <w:r>
        <w:rPr>
          <w:spacing w:val="-8"/>
        </w:rPr>
        <w:t xml:space="preserve"> </w:t>
      </w:r>
      <w:r>
        <w:t>the</w:t>
      </w:r>
      <w:r>
        <w:rPr>
          <w:spacing w:val="-7"/>
        </w:rPr>
        <w:t xml:space="preserve"> </w:t>
      </w:r>
      <w:r>
        <w:t>form</w:t>
      </w:r>
      <w:r>
        <w:rPr>
          <w:spacing w:val="-9"/>
        </w:rPr>
        <w:t xml:space="preserve"> </w:t>
      </w:r>
      <w:r>
        <w:t>of</w:t>
      </w:r>
      <w:r>
        <w:rPr>
          <w:spacing w:val="-9"/>
        </w:rPr>
        <w:t xml:space="preserve"> </w:t>
      </w:r>
      <w:r>
        <w:t>GEF</w:t>
      </w:r>
      <w:r>
        <w:rPr>
          <w:spacing w:val="-8"/>
        </w:rPr>
        <w:t xml:space="preserve"> </w:t>
      </w:r>
      <w:r>
        <w:t>Agency</w:t>
      </w:r>
      <w:r>
        <w:rPr>
          <w:spacing w:val="-6"/>
        </w:rPr>
        <w:t xml:space="preserve"> </w:t>
      </w:r>
      <w:r>
        <w:t>Fee.</w:t>
      </w:r>
      <w:r>
        <w:rPr>
          <w:spacing w:val="-7"/>
        </w:rPr>
        <w:t xml:space="preserve"> </w:t>
      </w:r>
      <w:r>
        <w:t>Double</w:t>
      </w:r>
      <w:r>
        <w:rPr>
          <w:spacing w:val="-7"/>
        </w:rPr>
        <w:t xml:space="preserve"> </w:t>
      </w:r>
      <w:r>
        <w:t>charging</w:t>
      </w:r>
      <w:r>
        <w:rPr>
          <w:spacing w:val="-8"/>
        </w:rPr>
        <w:t xml:space="preserve"> </w:t>
      </w:r>
      <w:r>
        <w:t>risks</w:t>
      </w:r>
      <w:r>
        <w:rPr>
          <w:spacing w:val="-8"/>
        </w:rPr>
        <w:t xml:space="preserve"> </w:t>
      </w:r>
      <w:r>
        <w:t>UNDP’s</w:t>
      </w:r>
      <w:r>
        <w:rPr>
          <w:spacing w:val="-7"/>
        </w:rPr>
        <w:t xml:space="preserve"> </w:t>
      </w:r>
      <w:r>
        <w:t>accreditation</w:t>
      </w:r>
      <w:r>
        <w:rPr>
          <w:spacing w:val="-10"/>
        </w:rPr>
        <w:t xml:space="preserve"> </w:t>
      </w:r>
      <w:r>
        <w:t>with</w:t>
      </w:r>
      <w:r>
        <w:rPr>
          <w:spacing w:val="-7"/>
        </w:rPr>
        <w:t xml:space="preserve"> </w:t>
      </w:r>
      <w:r>
        <w:t>the GEF.</w:t>
      </w:r>
    </w:p>
    <w:p w14:paraId="269DF96B" w14:textId="77777777" w:rsidR="00C23B76" w:rsidRDefault="00C23B76">
      <w:pPr>
        <w:pStyle w:val="BodyText"/>
        <w:spacing w:before="1"/>
      </w:pPr>
    </w:p>
    <w:p w14:paraId="269DF96C" w14:textId="77777777" w:rsidR="00C23B76" w:rsidRDefault="00D65794">
      <w:pPr>
        <w:pStyle w:val="ListParagraph"/>
        <w:numPr>
          <w:ilvl w:val="1"/>
          <w:numId w:val="24"/>
        </w:numPr>
        <w:tabs>
          <w:tab w:val="left" w:pos="893"/>
        </w:tabs>
        <w:ind w:right="112"/>
        <w:jc w:val="both"/>
      </w:pPr>
      <w:r>
        <w:t>Travel costs for Oversight and quality assurance activities by UNDP staff or consultants. GEF Policy requires all oversight activities, including oversight missions, to be covered by the GEF Agency</w:t>
      </w:r>
      <w:r>
        <w:rPr>
          <w:spacing w:val="-10"/>
        </w:rPr>
        <w:t xml:space="preserve"> </w:t>
      </w:r>
      <w:r>
        <w:t>Fee.</w:t>
      </w:r>
      <w:r>
        <w:rPr>
          <w:spacing w:val="-13"/>
        </w:rPr>
        <w:t xml:space="preserve"> </w:t>
      </w:r>
      <w:r>
        <w:t>Building</w:t>
      </w:r>
      <w:r>
        <w:rPr>
          <w:spacing w:val="-10"/>
        </w:rPr>
        <w:t xml:space="preserve"> </w:t>
      </w:r>
      <w:r>
        <w:t>the</w:t>
      </w:r>
      <w:r>
        <w:rPr>
          <w:spacing w:val="-13"/>
        </w:rPr>
        <w:t xml:space="preserve"> </w:t>
      </w:r>
      <w:r>
        <w:t>capacity</w:t>
      </w:r>
      <w:r>
        <w:rPr>
          <w:spacing w:val="-12"/>
        </w:rPr>
        <w:t xml:space="preserve"> </w:t>
      </w:r>
      <w:r>
        <w:t>of</w:t>
      </w:r>
      <w:r>
        <w:rPr>
          <w:spacing w:val="-12"/>
        </w:rPr>
        <w:t xml:space="preserve"> </w:t>
      </w:r>
      <w:r>
        <w:t>the</w:t>
      </w:r>
      <w:r>
        <w:rPr>
          <w:spacing w:val="-12"/>
        </w:rPr>
        <w:t xml:space="preserve"> </w:t>
      </w:r>
      <w:r>
        <w:t>Project</w:t>
      </w:r>
      <w:r>
        <w:rPr>
          <w:spacing w:val="-12"/>
        </w:rPr>
        <w:t xml:space="preserve"> </w:t>
      </w:r>
      <w:r>
        <w:t>Management</w:t>
      </w:r>
      <w:r>
        <w:rPr>
          <w:spacing w:val="-9"/>
        </w:rPr>
        <w:t xml:space="preserve"> </w:t>
      </w:r>
      <w:r>
        <w:t>Unit</w:t>
      </w:r>
      <w:r>
        <w:rPr>
          <w:spacing w:val="-10"/>
        </w:rPr>
        <w:t xml:space="preserve"> </w:t>
      </w:r>
      <w:r>
        <w:t>is</w:t>
      </w:r>
      <w:r>
        <w:rPr>
          <w:spacing w:val="-13"/>
        </w:rPr>
        <w:t xml:space="preserve"> </w:t>
      </w:r>
      <w:r>
        <w:t>critical</w:t>
      </w:r>
      <w:r>
        <w:rPr>
          <w:spacing w:val="-10"/>
        </w:rPr>
        <w:t xml:space="preserve"> </w:t>
      </w:r>
      <w:r>
        <w:t>for</w:t>
      </w:r>
      <w:r>
        <w:rPr>
          <w:spacing w:val="-13"/>
        </w:rPr>
        <w:t xml:space="preserve"> </w:t>
      </w:r>
      <w:r>
        <w:t>timely</w:t>
      </w:r>
      <w:r>
        <w:rPr>
          <w:spacing w:val="-11"/>
        </w:rPr>
        <w:t xml:space="preserve"> </w:t>
      </w:r>
      <w:r>
        <w:t>and</w:t>
      </w:r>
      <w:r>
        <w:rPr>
          <w:spacing w:val="-11"/>
        </w:rPr>
        <w:t xml:space="preserve"> </w:t>
      </w:r>
      <w:r>
        <w:t>quality delivery</w:t>
      </w:r>
      <w:r>
        <w:rPr>
          <w:spacing w:val="-10"/>
        </w:rPr>
        <w:t xml:space="preserve"> </w:t>
      </w:r>
      <w:r>
        <w:t>of</w:t>
      </w:r>
      <w:r>
        <w:rPr>
          <w:spacing w:val="-8"/>
        </w:rPr>
        <w:t xml:space="preserve"> </w:t>
      </w:r>
      <w:r>
        <w:t>the</w:t>
      </w:r>
      <w:r>
        <w:rPr>
          <w:spacing w:val="-8"/>
        </w:rPr>
        <w:t xml:space="preserve"> </w:t>
      </w:r>
      <w:r>
        <w:t>project</w:t>
      </w:r>
      <w:r>
        <w:rPr>
          <w:spacing w:val="-7"/>
        </w:rPr>
        <w:t xml:space="preserve"> </w:t>
      </w:r>
      <w:r>
        <w:t>activities.</w:t>
      </w:r>
      <w:r>
        <w:rPr>
          <w:spacing w:val="-7"/>
        </w:rPr>
        <w:t xml:space="preserve"> </w:t>
      </w:r>
      <w:r>
        <w:t>This</w:t>
      </w:r>
      <w:r>
        <w:rPr>
          <w:spacing w:val="-11"/>
        </w:rPr>
        <w:t xml:space="preserve"> </w:t>
      </w:r>
      <w:r>
        <w:t>will</w:t>
      </w:r>
      <w:r>
        <w:rPr>
          <w:spacing w:val="-9"/>
        </w:rPr>
        <w:t xml:space="preserve"> </w:t>
      </w:r>
      <w:r>
        <w:t>ensure</w:t>
      </w:r>
      <w:r>
        <w:rPr>
          <w:spacing w:val="-9"/>
        </w:rPr>
        <w:t xml:space="preserve"> </w:t>
      </w:r>
      <w:r>
        <w:t>that</w:t>
      </w:r>
      <w:r>
        <w:rPr>
          <w:spacing w:val="-10"/>
        </w:rPr>
        <w:t xml:space="preserve"> </w:t>
      </w:r>
      <w:r>
        <w:t>COs</w:t>
      </w:r>
      <w:r>
        <w:rPr>
          <w:spacing w:val="-8"/>
        </w:rPr>
        <w:t xml:space="preserve"> </w:t>
      </w:r>
      <w:r>
        <w:t>maintain</w:t>
      </w:r>
      <w:r>
        <w:rPr>
          <w:spacing w:val="-9"/>
        </w:rPr>
        <w:t xml:space="preserve"> </w:t>
      </w:r>
      <w:r>
        <w:t>a</w:t>
      </w:r>
      <w:r>
        <w:rPr>
          <w:spacing w:val="-8"/>
        </w:rPr>
        <w:t xml:space="preserve"> </w:t>
      </w:r>
      <w:r>
        <w:t>balanced</w:t>
      </w:r>
      <w:r>
        <w:rPr>
          <w:spacing w:val="-10"/>
        </w:rPr>
        <w:t xml:space="preserve"> </w:t>
      </w:r>
      <w:r>
        <w:t>and</w:t>
      </w:r>
      <w:r>
        <w:rPr>
          <w:spacing w:val="-9"/>
        </w:rPr>
        <w:t xml:space="preserve"> </w:t>
      </w:r>
      <w:r>
        <w:t>minimum</w:t>
      </w:r>
      <w:r>
        <w:rPr>
          <w:spacing w:val="-7"/>
        </w:rPr>
        <w:t xml:space="preserve"> </w:t>
      </w:r>
      <w:r>
        <w:t>GEF required number of oversight</w:t>
      </w:r>
      <w:r>
        <w:rPr>
          <w:spacing w:val="-7"/>
        </w:rPr>
        <w:t xml:space="preserve"> </w:t>
      </w:r>
      <w:r>
        <w:t>missions.</w:t>
      </w:r>
    </w:p>
    <w:p w14:paraId="269DF96D" w14:textId="77777777" w:rsidR="00C23B76" w:rsidRDefault="00C23B76">
      <w:pPr>
        <w:pStyle w:val="BodyText"/>
        <w:spacing w:before="12"/>
        <w:rPr>
          <w:sz w:val="21"/>
        </w:rPr>
      </w:pPr>
    </w:p>
    <w:p w14:paraId="269DF96E" w14:textId="77777777" w:rsidR="00C23B76" w:rsidRDefault="00D65794">
      <w:pPr>
        <w:pStyle w:val="ListParagraph"/>
        <w:numPr>
          <w:ilvl w:val="1"/>
          <w:numId w:val="24"/>
        </w:numPr>
        <w:tabs>
          <w:tab w:val="left" w:pos="893"/>
        </w:tabs>
        <w:ind w:right="116"/>
        <w:jc w:val="both"/>
      </w:pPr>
      <w:r>
        <w:t xml:space="preserve">Harmonized Approach to Cash Transfers (HACT) spot checks must be conducted by a third party (select a firm under HACT Long Term Agreement list). </w:t>
      </w:r>
      <w:r>
        <w:rPr>
          <w:u w:val="single"/>
        </w:rPr>
        <w:t>Cost of UNDP staff cannot be charged</w:t>
      </w:r>
      <w:r>
        <w:t xml:space="preserve"> for a GEF-financed</w:t>
      </w:r>
      <w:r>
        <w:rPr>
          <w:spacing w:val="-1"/>
        </w:rPr>
        <w:t xml:space="preserve"> </w:t>
      </w:r>
      <w:r>
        <w:t>project.</w:t>
      </w:r>
    </w:p>
    <w:p w14:paraId="269DF96F" w14:textId="77777777" w:rsidR="00C23B76" w:rsidRDefault="00C23B76">
      <w:pPr>
        <w:pStyle w:val="BodyText"/>
        <w:spacing w:before="1"/>
      </w:pPr>
    </w:p>
    <w:p w14:paraId="269DF970" w14:textId="77777777" w:rsidR="00C23B76" w:rsidRDefault="00D65794">
      <w:pPr>
        <w:pStyle w:val="ListParagraph"/>
        <w:numPr>
          <w:ilvl w:val="1"/>
          <w:numId w:val="24"/>
        </w:numPr>
        <w:tabs>
          <w:tab w:val="left" w:pos="893"/>
        </w:tabs>
        <w:ind w:hanging="433"/>
      </w:pPr>
      <w:r>
        <w:t>Cost of Development Effectiveness</w:t>
      </w:r>
      <w:r>
        <w:rPr>
          <w:spacing w:val="-9"/>
        </w:rPr>
        <w:t xml:space="preserve"> </w:t>
      </w:r>
      <w:r>
        <w:t>activities.</w:t>
      </w:r>
    </w:p>
    <w:p w14:paraId="269DF971" w14:textId="77777777" w:rsidR="00C23B76" w:rsidRDefault="00C23B76">
      <w:pPr>
        <w:pStyle w:val="BodyText"/>
        <w:spacing w:before="10"/>
        <w:rPr>
          <w:sz w:val="21"/>
        </w:rPr>
      </w:pPr>
    </w:p>
    <w:p w14:paraId="269DF972" w14:textId="77777777" w:rsidR="00C23B76" w:rsidRDefault="00D65794">
      <w:pPr>
        <w:pStyle w:val="ListParagraph"/>
        <w:numPr>
          <w:ilvl w:val="1"/>
          <w:numId w:val="24"/>
        </w:numPr>
        <w:tabs>
          <w:tab w:val="left" w:pos="893"/>
        </w:tabs>
        <w:ind w:right="113"/>
        <w:jc w:val="both"/>
      </w:pPr>
      <w:r>
        <w:t>Unsupported expenditures – missing/insufficient supporting documents, missing/inappropriate authorizations and shared costs not</w:t>
      </w:r>
      <w:r>
        <w:rPr>
          <w:spacing w:val="-9"/>
        </w:rPr>
        <w:t xml:space="preserve"> </w:t>
      </w:r>
      <w:r>
        <w:t>justified.</w:t>
      </w:r>
    </w:p>
    <w:p w14:paraId="269DF973" w14:textId="77777777" w:rsidR="00C23B76" w:rsidRDefault="00C23B76">
      <w:pPr>
        <w:pStyle w:val="BodyText"/>
        <w:spacing w:before="11"/>
        <w:rPr>
          <w:sz w:val="31"/>
        </w:rPr>
      </w:pPr>
    </w:p>
    <w:p w14:paraId="269DF974" w14:textId="77777777" w:rsidR="00C23B76" w:rsidRDefault="00D65794">
      <w:pPr>
        <w:pStyle w:val="ListParagraph"/>
        <w:numPr>
          <w:ilvl w:val="1"/>
          <w:numId w:val="24"/>
        </w:numPr>
        <w:tabs>
          <w:tab w:val="left" w:pos="893"/>
        </w:tabs>
        <w:ind w:right="112"/>
        <w:jc w:val="both"/>
      </w:pPr>
      <w:r>
        <w:t>Expenditures incurred outside the scope of the approved budget – goods/services not included in the approved UNDP-GEF Project Document (financed by Global Environment Facility), annual work plans and budget, budget adjustments without prior approval by the BPPS NCE-VF Unit, expenditures incurred outside the implementation and/or closeout</w:t>
      </w:r>
      <w:r>
        <w:rPr>
          <w:spacing w:val="-8"/>
        </w:rPr>
        <w:t xml:space="preserve"> </w:t>
      </w:r>
      <w:r>
        <w:t>periods.</w:t>
      </w:r>
    </w:p>
    <w:p w14:paraId="269DF975" w14:textId="77777777" w:rsidR="00C23B76" w:rsidRDefault="00C23B76">
      <w:pPr>
        <w:pStyle w:val="BodyText"/>
        <w:spacing w:before="9"/>
        <w:rPr>
          <w:sz w:val="31"/>
        </w:rPr>
      </w:pPr>
    </w:p>
    <w:p w14:paraId="269DF976" w14:textId="77777777" w:rsidR="00C23B76" w:rsidRDefault="00D65794">
      <w:pPr>
        <w:pStyle w:val="ListParagraph"/>
        <w:numPr>
          <w:ilvl w:val="1"/>
          <w:numId w:val="24"/>
        </w:numPr>
        <w:tabs>
          <w:tab w:val="left" w:pos="893"/>
        </w:tabs>
        <w:ind w:right="113"/>
        <w:jc w:val="both"/>
      </w:pPr>
      <w:r>
        <w:t>Expenditures compromised by prohibited practices, including diversion of assets, procurement irregularities/non-compliance with procurement procedures, fraudulent and corrupt practices, disregard for efficiency/value for money, as established in the governance and management arrangements section and Legal Context Section of the Project</w:t>
      </w:r>
      <w:r>
        <w:rPr>
          <w:spacing w:val="-12"/>
        </w:rPr>
        <w:t xml:space="preserve"> </w:t>
      </w:r>
      <w:r>
        <w:t>Document.</w:t>
      </w:r>
    </w:p>
    <w:p w14:paraId="269DF977" w14:textId="77777777" w:rsidR="00C23B76" w:rsidRDefault="00C23B76">
      <w:pPr>
        <w:pStyle w:val="BodyText"/>
        <w:rPr>
          <w:sz w:val="32"/>
        </w:rPr>
      </w:pPr>
    </w:p>
    <w:p w14:paraId="269DF978" w14:textId="77777777" w:rsidR="00C23B76" w:rsidRDefault="00D65794">
      <w:pPr>
        <w:pStyle w:val="ListParagraph"/>
        <w:numPr>
          <w:ilvl w:val="1"/>
          <w:numId w:val="24"/>
        </w:numPr>
        <w:tabs>
          <w:tab w:val="left" w:pos="893"/>
        </w:tabs>
        <w:ind w:right="111"/>
        <w:jc w:val="both"/>
      </w:pPr>
      <w:r>
        <w:t xml:space="preserve">UNDP Support Services </w:t>
      </w:r>
      <w:r>
        <w:rPr>
          <w:spacing w:val="-2"/>
        </w:rPr>
        <w:t xml:space="preserve">not </w:t>
      </w:r>
      <w:r>
        <w:t>approved by the GEF (and not included in the UNDP-GEF Project Document</w:t>
      </w:r>
      <w:r>
        <w:rPr>
          <w:spacing w:val="-11"/>
        </w:rPr>
        <w:t xml:space="preserve"> </w:t>
      </w:r>
      <w:r>
        <w:t>[financed</w:t>
      </w:r>
      <w:r>
        <w:rPr>
          <w:spacing w:val="-11"/>
        </w:rPr>
        <w:t xml:space="preserve"> </w:t>
      </w:r>
      <w:r>
        <w:t>by</w:t>
      </w:r>
      <w:r>
        <w:rPr>
          <w:spacing w:val="-13"/>
        </w:rPr>
        <w:t xml:space="preserve"> </w:t>
      </w:r>
      <w:r>
        <w:t>Global</w:t>
      </w:r>
      <w:r>
        <w:rPr>
          <w:spacing w:val="-11"/>
        </w:rPr>
        <w:t xml:space="preserve"> </w:t>
      </w:r>
      <w:r>
        <w:t>Environment</w:t>
      </w:r>
      <w:r>
        <w:rPr>
          <w:spacing w:val="-11"/>
        </w:rPr>
        <w:t xml:space="preserve"> </w:t>
      </w:r>
      <w:r>
        <w:t>Facility]).</w:t>
      </w:r>
      <w:r>
        <w:rPr>
          <w:spacing w:val="-13"/>
        </w:rPr>
        <w:t xml:space="preserve"> </w:t>
      </w:r>
      <w:r>
        <w:t>Cost</w:t>
      </w:r>
      <w:r>
        <w:rPr>
          <w:spacing w:val="-13"/>
        </w:rPr>
        <w:t xml:space="preserve"> </w:t>
      </w:r>
      <w:r>
        <w:t>of</w:t>
      </w:r>
      <w:r>
        <w:rPr>
          <w:spacing w:val="-13"/>
        </w:rPr>
        <w:t xml:space="preserve"> </w:t>
      </w:r>
      <w:r>
        <w:t>UNDP</w:t>
      </w:r>
      <w:r>
        <w:rPr>
          <w:spacing w:val="-9"/>
        </w:rPr>
        <w:t xml:space="preserve"> </w:t>
      </w:r>
      <w:r>
        <w:t>Support</w:t>
      </w:r>
      <w:r>
        <w:rPr>
          <w:spacing w:val="-11"/>
        </w:rPr>
        <w:t xml:space="preserve"> </w:t>
      </w:r>
      <w:r>
        <w:t>Services</w:t>
      </w:r>
      <w:r>
        <w:rPr>
          <w:spacing w:val="-10"/>
        </w:rPr>
        <w:t xml:space="preserve"> </w:t>
      </w:r>
      <w:r>
        <w:t>that</w:t>
      </w:r>
      <w:r>
        <w:rPr>
          <w:spacing w:val="-14"/>
        </w:rPr>
        <w:t xml:space="preserve"> </w:t>
      </w:r>
      <w:r>
        <w:t>exceed the approved budget for such services in the UNDP-GEF Project Document (financed by Global Environment</w:t>
      </w:r>
      <w:r>
        <w:rPr>
          <w:spacing w:val="-3"/>
        </w:rPr>
        <w:t xml:space="preserve"> </w:t>
      </w:r>
      <w:r>
        <w:t>Facility).</w:t>
      </w:r>
    </w:p>
    <w:p w14:paraId="269DF979" w14:textId="77777777" w:rsidR="00C23B76" w:rsidRDefault="00C23B76">
      <w:pPr>
        <w:jc w:val="both"/>
        <w:sectPr w:rsidR="00C23B76">
          <w:pgSz w:w="12240" w:h="15840"/>
          <w:pgMar w:top="1340" w:right="1320" w:bottom="1260" w:left="1340" w:header="182" w:footer="1066" w:gutter="0"/>
          <w:cols w:space="720"/>
        </w:sectPr>
      </w:pPr>
    </w:p>
    <w:p w14:paraId="269DF97A" w14:textId="77777777" w:rsidR="00C23B76" w:rsidRDefault="00D65794">
      <w:pPr>
        <w:pStyle w:val="ListParagraph"/>
        <w:numPr>
          <w:ilvl w:val="1"/>
          <w:numId w:val="24"/>
        </w:numPr>
        <w:tabs>
          <w:tab w:val="left" w:pos="820"/>
          <w:tab w:val="left" w:pos="821"/>
        </w:tabs>
        <w:spacing w:before="90"/>
        <w:ind w:left="820" w:right="587" w:hanging="720"/>
      </w:pPr>
      <w:r>
        <w:lastRenderedPageBreak/>
        <w:t>Project Management Costs that exceed the approved PMC budget in the UNDP-GEF Project Document (financed by Global Environment</w:t>
      </w:r>
      <w:r>
        <w:rPr>
          <w:spacing w:val="-4"/>
        </w:rPr>
        <w:t xml:space="preserve"> </w:t>
      </w:r>
      <w:r>
        <w:t>Facility).</w:t>
      </w:r>
    </w:p>
    <w:p w14:paraId="269DF97B" w14:textId="77777777" w:rsidR="00C23B76" w:rsidRDefault="00C23B76">
      <w:pPr>
        <w:pStyle w:val="BodyText"/>
        <w:spacing w:before="1"/>
      </w:pPr>
    </w:p>
    <w:p w14:paraId="269DF97C" w14:textId="77777777" w:rsidR="00C23B76" w:rsidRDefault="00D65794">
      <w:pPr>
        <w:pStyle w:val="ListParagraph"/>
        <w:numPr>
          <w:ilvl w:val="1"/>
          <w:numId w:val="24"/>
        </w:numPr>
        <w:tabs>
          <w:tab w:val="left" w:pos="1540"/>
          <w:tab w:val="left" w:pos="1541"/>
        </w:tabs>
        <w:ind w:left="1540" w:hanging="1081"/>
      </w:pPr>
      <w:r>
        <w:t>Government staff</w:t>
      </w:r>
      <w:r>
        <w:rPr>
          <w:spacing w:val="-1"/>
        </w:rPr>
        <w:t xml:space="preserve"> </w:t>
      </w:r>
      <w:r>
        <w:t>salaries.</w:t>
      </w:r>
    </w:p>
    <w:p w14:paraId="269DF97D" w14:textId="77777777" w:rsidR="00C23B76" w:rsidRDefault="00C23B76">
      <w:pPr>
        <w:pStyle w:val="BodyText"/>
        <w:spacing w:before="10"/>
        <w:rPr>
          <w:sz w:val="21"/>
        </w:rPr>
      </w:pPr>
    </w:p>
    <w:p w14:paraId="71021EB1" w14:textId="77777777" w:rsidR="00216E5A" w:rsidRDefault="00D65794" w:rsidP="00216E5A">
      <w:pPr>
        <w:pStyle w:val="ListParagraph"/>
        <w:numPr>
          <w:ilvl w:val="2"/>
          <w:numId w:val="24"/>
        </w:numPr>
        <w:tabs>
          <w:tab w:val="left" w:pos="1540"/>
          <w:tab w:val="left" w:pos="1541"/>
        </w:tabs>
        <w:spacing w:before="1"/>
        <w:ind w:right="112"/>
        <w:jc w:val="both"/>
      </w:pPr>
      <w:r>
        <w:t xml:space="preserve">Salaries of UNDP staff (excluding project personnel specifically recruited under UNDP </w:t>
      </w:r>
      <w:r w:rsidR="00216E5A">
        <w:t xml:space="preserve">  </w:t>
      </w:r>
    </w:p>
    <w:p w14:paraId="269DF97F" w14:textId="79606947" w:rsidR="00C23B76" w:rsidRDefault="00216E5A" w:rsidP="00216E5A">
      <w:pPr>
        <w:pStyle w:val="ListParagraph"/>
        <w:tabs>
          <w:tab w:val="left" w:pos="1540"/>
          <w:tab w:val="left" w:pos="1541"/>
        </w:tabs>
        <w:spacing w:before="1"/>
        <w:ind w:left="1540" w:right="112" w:firstLine="0"/>
        <w:jc w:val="both"/>
      </w:pPr>
      <w:r>
        <w:tab/>
      </w:r>
      <w:r w:rsidR="00D65794">
        <w:t>contracts</w:t>
      </w:r>
      <w:r w:rsidR="00D65794">
        <w:rPr>
          <w:spacing w:val="-2"/>
        </w:rPr>
        <w:t xml:space="preserve"> </w:t>
      </w:r>
      <w:r w:rsidR="00D65794">
        <w:t>on</w:t>
      </w:r>
      <w:r>
        <w:t xml:space="preserve"> </w:t>
      </w:r>
      <w:r w:rsidR="00D65794">
        <w:t>behalf of IPs, and excluding UNDP staff costs approved by GEF and included in the TBWP of the approved GEF Project Document).</w:t>
      </w:r>
    </w:p>
    <w:p w14:paraId="269DF980" w14:textId="77777777" w:rsidR="00C23B76" w:rsidRDefault="00C23B76">
      <w:pPr>
        <w:pStyle w:val="BodyText"/>
        <w:spacing w:before="1"/>
      </w:pPr>
    </w:p>
    <w:p w14:paraId="269DF981" w14:textId="77777777" w:rsidR="00C23B76" w:rsidRDefault="00D65794">
      <w:pPr>
        <w:pStyle w:val="ListParagraph"/>
        <w:numPr>
          <w:ilvl w:val="1"/>
          <w:numId w:val="24"/>
        </w:numPr>
        <w:tabs>
          <w:tab w:val="left" w:pos="1540"/>
          <w:tab w:val="left" w:pos="1541"/>
        </w:tabs>
        <w:ind w:left="1540" w:right="579" w:hanging="1080"/>
      </w:pPr>
      <w:r>
        <w:t>Purchase of vehicles not approved in the UNDP-GEF Project Document (financed by Global Environment Facility), or added after approval as a new budgetary</w:t>
      </w:r>
      <w:r>
        <w:rPr>
          <w:spacing w:val="-15"/>
        </w:rPr>
        <w:t xml:space="preserve"> </w:t>
      </w:r>
      <w:r>
        <w:t>item.</w:t>
      </w:r>
    </w:p>
    <w:p w14:paraId="269DF982" w14:textId="77777777" w:rsidR="00C23B76" w:rsidRDefault="00C23B76">
      <w:pPr>
        <w:pStyle w:val="BodyText"/>
        <w:spacing w:before="1"/>
      </w:pPr>
    </w:p>
    <w:p w14:paraId="269DF983" w14:textId="77777777" w:rsidR="00C23B76" w:rsidRDefault="00D65794">
      <w:pPr>
        <w:pStyle w:val="ListParagraph"/>
        <w:numPr>
          <w:ilvl w:val="1"/>
          <w:numId w:val="24"/>
        </w:numPr>
        <w:tabs>
          <w:tab w:val="left" w:pos="1540"/>
          <w:tab w:val="left" w:pos="1541"/>
        </w:tabs>
        <w:ind w:left="1540" w:hanging="1081"/>
      </w:pPr>
      <w:r>
        <w:t>Costs under Account 75105 Facility and</w:t>
      </w:r>
      <w:r>
        <w:rPr>
          <w:spacing w:val="-7"/>
        </w:rPr>
        <w:t xml:space="preserve"> </w:t>
      </w:r>
      <w:r>
        <w:t>Administration.</w:t>
      </w:r>
    </w:p>
    <w:p w14:paraId="269DF984" w14:textId="77777777" w:rsidR="00C23B76" w:rsidRDefault="00C23B76">
      <w:pPr>
        <w:pStyle w:val="BodyText"/>
        <w:spacing w:before="10"/>
        <w:rPr>
          <w:sz w:val="21"/>
        </w:rPr>
      </w:pPr>
    </w:p>
    <w:p w14:paraId="269DF985" w14:textId="77777777" w:rsidR="00C23B76" w:rsidRDefault="00D65794">
      <w:pPr>
        <w:pStyle w:val="ListParagraph"/>
        <w:numPr>
          <w:ilvl w:val="1"/>
          <w:numId w:val="24"/>
        </w:numPr>
        <w:tabs>
          <w:tab w:val="left" w:pos="1540"/>
          <w:tab w:val="left" w:pos="1541"/>
        </w:tabs>
        <w:spacing w:before="1"/>
        <w:ind w:left="1540" w:hanging="1081"/>
      </w:pPr>
      <w:r>
        <w:t>Any other cost which does not comply with UNDP Financial Regulations and</w:t>
      </w:r>
      <w:r>
        <w:rPr>
          <w:spacing w:val="-16"/>
        </w:rPr>
        <w:t xml:space="preserve"> </w:t>
      </w:r>
      <w:r>
        <w:t>Rules.</w:t>
      </w:r>
    </w:p>
    <w:p w14:paraId="269DF986" w14:textId="77777777" w:rsidR="00C23B76" w:rsidRDefault="00C23B76">
      <w:pPr>
        <w:pStyle w:val="BodyText"/>
      </w:pPr>
    </w:p>
    <w:p w14:paraId="269DF987" w14:textId="77777777" w:rsidR="00C23B76" w:rsidRDefault="00C23B76">
      <w:pPr>
        <w:pStyle w:val="BodyText"/>
      </w:pPr>
    </w:p>
    <w:p w14:paraId="269DF988" w14:textId="77777777" w:rsidR="00C23B76" w:rsidRDefault="00D65794">
      <w:pPr>
        <w:pStyle w:val="Heading1"/>
        <w:numPr>
          <w:ilvl w:val="0"/>
          <w:numId w:val="24"/>
        </w:numPr>
        <w:tabs>
          <w:tab w:val="left" w:pos="461"/>
        </w:tabs>
        <w:ind w:hanging="361"/>
        <w:jc w:val="left"/>
      </w:pPr>
      <w:r>
        <w:t>Budgeting for project closure of GEF-financed</w:t>
      </w:r>
      <w:r>
        <w:rPr>
          <w:spacing w:val="-3"/>
        </w:rPr>
        <w:t xml:space="preserve"> </w:t>
      </w:r>
      <w:r>
        <w:t>projects</w:t>
      </w:r>
    </w:p>
    <w:p w14:paraId="269DF989" w14:textId="77777777" w:rsidR="00C23B76" w:rsidRDefault="00C23B76">
      <w:pPr>
        <w:pStyle w:val="BodyText"/>
        <w:spacing w:before="1"/>
        <w:rPr>
          <w:b/>
        </w:rPr>
      </w:pPr>
    </w:p>
    <w:p w14:paraId="269DF98A" w14:textId="77777777" w:rsidR="00C23B76" w:rsidRDefault="00D65794">
      <w:pPr>
        <w:pStyle w:val="ListParagraph"/>
        <w:numPr>
          <w:ilvl w:val="1"/>
          <w:numId w:val="24"/>
        </w:numPr>
        <w:tabs>
          <w:tab w:val="left" w:pos="893"/>
        </w:tabs>
        <w:ind w:right="114"/>
        <w:jc w:val="both"/>
      </w:pPr>
      <w:r>
        <w:t>GEF requires financial closure of projects within 12 months of completing the Terminal Evaluation, as agreed in the UNDP-GEF Project Document (financed by Global Environment Facility).</w:t>
      </w:r>
    </w:p>
    <w:p w14:paraId="269DF98B" w14:textId="77777777" w:rsidR="00C23B76" w:rsidRDefault="00C23B76">
      <w:pPr>
        <w:pStyle w:val="BodyText"/>
        <w:spacing w:before="10"/>
        <w:rPr>
          <w:sz w:val="21"/>
        </w:rPr>
      </w:pPr>
    </w:p>
    <w:p w14:paraId="269DF98C" w14:textId="77777777" w:rsidR="00C23B76" w:rsidRDefault="00D65794">
      <w:pPr>
        <w:pStyle w:val="ListParagraph"/>
        <w:numPr>
          <w:ilvl w:val="1"/>
          <w:numId w:val="24"/>
        </w:numPr>
        <w:tabs>
          <w:tab w:val="left" w:pos="893"/>
        </w:tabs>
        <w:spacing w:before="1"/>
        <w:ind w:right="118"/>
        <w:jc w:val="both"/>
      </w:pPr>
      <w:r>
        <w:t>The project budget required for closure should be approved by the Project Board in the final review for operational</w:t>
      </w:r>
      <w:r>
        <w:rPr>
          <w:spacing w:val="-2"/>
        </w:rPr>
        <w:t xml:space="preserve"> </w:t>
      </w:r>
      <w:r>
        <w:t>closure.</w:t>
      </w:r>
    </w:p>
    <w:p w14:paraId="269DF98D" w14:textId="77777777" w:rsidR="00C23B76" w:rsidRDefault="00C23B76">
      <w:pPr>
        <w:pStyle w:val="BodyText"/>
      </w:pPr>
    </w:p>
    <w:p w14:paraId="269DF98E" w14:textId="77777777" w:rsidR="00C23B76" w:rsidRDefault="00D65794">
      <w:pPr>
        <w:pStyle w:val="ListParagraph"/>
        <w:numPr>
          <w:ilvl w:val="1"/>
          <w:numId w:val="24"/>
        </w:numPr>
        <w:tabs>
          <w:tab w:val="left" w:pos="893"/>
        </w:tabs>
        <w:spacing w:before="1"/>
        <w:ind w:right="113"/>
        <w:jc w:val="both"/>
      </w:pPr>
      <w:r>
        <w:t>Financial closure of projects (in the GEF Trustee Financial System) is required within 12 months of submitting the Terminal Evaluation Reports to</w:t>
      </w:r>
      <w:r>
        <w:rPr>
          <w:spacing w:val="-7"/>
        </w:rPr>
        <w:t xml:space="preserve"> </w:t>
      </w:r>
      <w:r>
        <w:t>GEF.</w:t>
      </w:r>
    </w:p>
    <w:p w14:paraId="269DF98F" w14:textId="77777777" w:rsidR="00C23B76" w:rsidRDefault="00C23B76">
      <w:pPr>
        <w:pStyle w:val="BodyText"/>
      </w:pPr>
    </w:p>
    <w:p w14:paraId="269DF990" w14:textId="77777777" w:rsidR="00C23B76" w:rsidRDefault="00D65794">
      <w:pPr>
        <w:pStyle w:val="BodyText"/>
        <w:ind w:left="820" w:right="112"/>
        <w:jc w:val="both"/>
      </w:pPr>
      <w:r>
        <w:t>GEF Projects must be operationally closed three (3) months after the posting of the Terminal Evaluation report, and financially closed six (6) months after operational closure. Before</w:t>
      </w:r>
      <w:r>
        <w:rPr>
          <w:spacing w:val="-35"/>
        </w:rPr>
        <w:t xml:space="preserve"> </w:t>
      </w:r>
      <w:r>
        <w:t>financial closure in Atlas, COs should send the final signed closure documents, including confirmation of the final cumulative expenditure and unspent balance, to the BPPS NCE-VF Unit for validation. Within two (2) months of financial closure in Atlas, BPPS NCE-VF must report to the GEF Trustee for final project financial closure in the Trustee</w:t>
      </w:r>
      <w:r>
        <w:rPr>
          <w:spacing w:val="-4"/>
        </w:rPr>
        <w:t xml:space="preserve"> </w:t>
      </w:r>
      <w:r>
        <w:t>system.</w:t>
      </w:r>
    </w:p>
    <w:p w14:paraId="269DF991" w14:textId="77777777" w:rsidR="00C23B76" w:rsidRDefault="00C23B76">
      <w:pPr>
        <w:pStyle w:val="BodyText"/>
      </w:pPr>
    </w:p>
    <w:p w14:paraId="269DF992" w14:textId="77777777" w:rsidR="00C23B76" w:rsidRDefault="00D65794">
      <w:pPr>
        <w:pStyle w:val="ListParagraph"/>
        <w:numPr>
          <w:ilvl w:val="1"/>
          <w:numId w:val="24"/>
        </w:numPr>
        <w:tabs>
          <w:tab w:val="left" w:pos="893"/>
        </w:tabs>
        <w:ind w:right="113"/>
        <w:jc w:val="both"/>
      </w:pPr>
      <w:r>
        <w:t xml:space="preserve">Refunds to GEF for any unspent funds are managed directly by BPPS NCE-VF in New York. COs should </w:t>
      </w:r>
      <w:r>
        <w:rPr>
          <w:b/>
        </w:rPr>
        <w:t xml:space="preserve">NOT </w:t>
      </w:r>
      <w:r>
        <w:t>transfer funds from one GEF project to another, or to other</w:t>
      </w:r>
      <w:r>
        <w:rPr>
          <w:spacing w:val="-11"/>
        </w:rPr>
        <w:t xml:space="preserve"> </w:t>
      </w:r>
      <w:r>
        <w:t>funds.</w:t>
      </w:r>
    </w:p>
    <w:p w14:paraId="269DF993" w14:textId="77777777" w:rsidR="00C23B76" w:rsidRDefault="00C23B76">
      <w:pPr>
        <w:pStyle w:val="BodyText"/>
        <w:spacing w:before="1"/>
      </w:pPr>
    </w:p>
    <w:p w14:paraId="269DF994" w14:textId="77777777" w:rsidR="00C23B76" w:rsidRDefault="00D65794">
      <w:pPr>
        <w:pStyle w:val="ListParagraph"/>
        <w:numPr>
          <w:ilvl w:val="1"/>
          <w:numId w:val="24"/>
        </w:numPr>
        <w:tabs>
          <w:tab w:val="left" w:pos="893"/>
        </w:tabs>
        <w:ind w:right="112"/>
        <w:jc w:val="both"/>
      </w:pPr>
      <w:r>
        <w:t>On</w:t>
      </w:r>
      <w:r>
        <w:rPr>
          <w:spacing w:val="-2"/>
        </w:rPr>
        <w:t xml:space="preserve"> </w:t>
      </w:r>
      <w:r>
        <w:t>an</w:t>
      </w:r>
      <w:r>
        <w:rPr>
          <w:spacing w:val="-4"/>
        </w:rPr>
        <w:t xml:space="preserve"> </w:t>
      </w:r>
      <w:r>
        <w:t>exceptional</w:t>
      </w:r>
      <w:r>
        <w:rPr>
          <w:spacing w:val="-4"/>
        </w:rPr>
        <w:t xml:space="preserve"> </w:t>
      </w:r>
      <w:r>
        <w:t>basis,</w:t>
      </w:r>
      <w:r>
        <w:rPr>
          <w:spacing w:val="-4"/>
        </w:rPr>
        <w:t xml:space="preserve"> </w:t>
      </w:r>
      <w:r>
        <w:t>only</w:t>
      </w:r>
      <w:r>
        <w:rPr>
          <w:spacing w:val="-3"/>
        </w:rPr>
        <w:t xml:space="preserve"> </w:t>
      </w:r>
      <w:r>
        <w:t>one</w:t>
      </w:r>
      <w:r>
        <w:rPr>
          <w:spacing w:val="-2"/>
        </w:rPr>
        <w:t xml:space="preserve"> </w:t>
      </w:r>
      <w:r>
        <w:t>project</w:t>
      </w:r>
      <w:r>
        <w:rPr>
          <w:spacing w:val="-2"/>
        </w:rPr>
        <w:t xml:space="preserve"> </w:t>
      </w:r>
      <w:r>
        <w:t>extension</w:t>
      </w:r>
      <w:r>
        <w:rPr>
          <w:spacing w:val="-3"/>
        </w:rPr>
        <w:t xml:space="preserve"> </w:t>
      </w:r>
      <w:r>
        <w:t>may be</w:t>
      </w:r>
      <w:r>
        <w:rPr>
          <w:spacing w:val="-3"/>
        </w:rPr>
        <w:t xml:space="preserve"> </w:t>
      </w:r>
      <w:r>
        <w:t>approved</w:t>
      </w:r>
      <w:r>
        <w:rPr>
          <w:spacing w:val="-4"/>
        </w:rPr>
        <w:t xml:space="preserve"> </w:t>
      </w:r>
      <w:r>
        <w:t>by</w:t>
      </w:r>
      <w:r>
        <w:rPr>
          <w:spacing w:val="-3"/>
        </w:rPr>
        <w:t xml:space="preserve"> </w:t>
      </w:r>
      <w:r>
        <w:t>BPPS</w:t>
      </w:r>
      <w:r>
        <w:rPr>
          <w:spacing w:val="-4"/>
        </w:rPr>
        <w:t xml:space="preserve"> </w:t>
      </w:r>
      <w:r>
        <w:t>NCE-VF</w:t>
      </w:r>
      <w:r>
        <w:rPr>
          <w:spacing w:val="-1"/>
        </w:rPr>
        <w:t xml:space="preserve"> </w:t>
      </w:r>
      <w:r>
        <w:t xml:space="preserve">Executive Coordinator, subject to the submission of the request and justification. Requests must </w:t>
      </w:r>
      <w:r>
        <w:rPr>
          <w:spacing w:val="-3"/>
        </w:rPr>
        <w:t xml:space="preserve">be </w:t>
      </w:r>
      <w:r>
        <w:t>submitted 6 months prior to the expected planned operational closing date. Those submitted after this window will not be accommodated and project closure will commence. The maximum extension for projects under implementation as of the effective date (GEF-4 to GEF-6) is 12 months, and for projects under development (GEF-7), is 6 months. The implementing partner must</w:t>
      </w:r>
      <w:r>
        <w:rPr>
          <w:spacing w:val="-9"/>
        </w:rPr>
        <w:t xml:space="preserve"> </w:t>
      </w:r>
      <w:r>
        <w:t>submit</w:t>
      </w:r>
      <w:r>
        <w:rPr>
          <w:spacing w:val="-8"/>
        </w:rPr>
        <w:t xml:space="preserve"> </w:t>
      </w:r>
      <w:r>
        <w:t>a</w:t>
      </w:r>
      <w:r>
        <w:rPr>
          <w:spacing w:val="-6"/>
        </w:rPr>
        <w:t xml:space="preserve"> </w:t>
      </w:r>
      <w:r>
        <w:t>request</w:t>
      </w:r>
      <w:r>
        <w:rPr>
          <w:spacing w:val="-8"/>
        </w:rPr>
        <w:t xml:space="preserve"> </w:t>
      </w:r>
      <w:r>
        <w:t>to</w:t>
      </w:r>
      <w:r>
        <w:rPr>
          <w:spacing w:val="-4"/>
        </w:rPr>
        <w:t xml:space="preserve"> </w:t>
      </w:r>
      <w:r>
        <w:t>UNDP</w:t>
      </w:r>
      <w:r>
        <w:rPr>
          <w:spacing w:val="-7"/>
        </w:rPr>
        <w:t xml:space="preserve"> </w:t>
      </w:r>
      <w:r>
        <w:t>offices/Units</w:t>
      </w:r>
      <w:r>
        <w:rPr>
          <w:spacing w:val="-9"/>
        </w:rPr>
        <w:t xml:space="preserve"> </w:t>
      </w:r>
      <w:r>
        <w:t>acting</w:t>
      </w:r>
      <w:r>
        <w:rPr>
          <w:spacing w:val="-7"/>
        </w:rPr>
        <w:t xml:space="preserve"> </w:t>
      </w:r>
      <w:r>
        <w:t>as</w:t>
      </w:r>
      <w:r>
        <w:rPr>
          <w:spacing w:val="-10"/>
        </w:rPr>
        <w:t xml:space="preserve"> </w:t>
      </w:r>
      <w:r>
        <w:t>Project</w:t>
      </w:r>
      <w:r>
        <w:rPr>
          <w:spacing w:val="-7"/>
        </w:rPr>
        <w:t xml:space="preserve"> </w:t>
      </w:r>
      <w:r>
        <w:t>Business</w:t>
      </w:r>
      <w:r>
        <w:rPr>
          <w:spacing w:val="-8"/>
        </w:rPr>
        <w:t xml:space="preserve"> </w:t>
      </w:r>
      <w:r>
        <w:t>Units,</w:t>
      </w:r>
      <w:r>
        <w:rPr>
          <w:spacing w:val="-7"/>
        </w:rPr>
        <w:t xml:space="preserve"> </w:t>
      </w:r>
      <w:r>
        <w:t>justifying</w:t>
      </w:r>
      <w:r>
        <w:rPr>
          <w:spacing w:val="-7"/>
        </w:rPr>
        <w:t xml:space="preserve"> </w:t>
      </w:r>
      <w:r>
        <w:t>the</w:t>
      </w:r>
      <w:r>
        <w:rPr>
          <w:spacing w:val="-8"/>
        </w:rPr>
        <w:t xml:space="preserve"> </w:t>
      </w:r>
      <w:r>
        <w:t>need for</w:t>
      </w:r>
      <w:r>
        <w:rPr>
          <w:spacing w:val="28"/>
        </w:rPr>
        <w:t xml:space="preserve"> </w:t>
      </w:r>
      <w:r>
        <w:t>extension</w:t>
      </w:r>
      <w:r>
        <w:rPr>
          <w:spacing w:val="27"/>
        </w:rPr>
        <w:t xml:space="preserve"> </w:t>
      </w:r>
      <w:r>
        <w:t>and</w:t>
      </w:r>
      <w:r>
        <w:rPr>
          <w:spacing w:val="27"/>
        </w:rPr>
        <w:t xml:space="preserve"> </w:t>
      </w:r>
      <w:r>
        <w:t>agreeing</w:t>
      </w:r>
      <w:r>
        <w:rPr>
          <w:spacing w:val="28"/>
        </w:rPr>
        <w:t xml:space="preserve"> </w:t>
      </w:r>
      <w:r>
        <w:t>to</w:t>
      </w:r>
      <w:r>
        <w:rPr>
          <w:spacing w:val="30"/>
        </w:rPr>
        <w:t xml:space="preserve"> </w:t>
      </w:r>
      <w:r>
        <w:t>cover</w:t>
      </w:r>
      <w:r>
        <w:rPr>
          <w:spacing w:val="28"/>
        </w:rPr>
        <w:t xml:space="preserve"> </w:t>
      </w:r>
      <w:r>
        <w:t>any</w:t>
      </w:r>
      <w:r>
        <w:rPr>
          <w:spacing w:val="29"/>
        </w:rPr>
        <w:t xml:space="preserve"> </w:t>
      </w:r>
      <w:r>
        <w:t>additional</w:t>
      </w:r>
      <w:r>
        <w:rPr>
          <w:spacing w:val="26"/>
        </w:rPr>
        <w:t xml:space="preserve"> </w:t>
      </w:r>
      <w:r>
        <w:t>project</w:t>
      </w:r>
      <w:r>
        <w:rPr>
          <w:spacing w:val="29"/>
        </w:rPr>
        <w:t xml:space="preserve"> </w:t>
      </w:r>
      <w:r>
        <w:t>costs</w:t>
      </w:r>
      <w:r>
        <w:rPr>
          <w:spacing w:val="29"/>
        </w:rPr>
        <w:t xml:space="preserve"> </w:t>
      </w:r>
      <w:r>
        <w:t>in</w:t>
      </w:r>
      <w:r>
        <w:rPr>
          <w:spacing w:val="27"/>
        </w:rPr>
        <w:t xml:space="preserve"> </w:t>
      </w:r>
      <w:r>
        <w:t>addition</w:t>
      </w:r>
      <w:r>
        <w:rPr>
          <w:spacing w:val="28"/>
        </w:rPr>
        <w:t xml:space="preserve"> </w:t>
      </w:r>
      <w:r>
        <w:t>to</w:t>
      </w:r>
      <w:r>
        <w:rPr>
          <w:spacing w:val="29"/>
        </w:rPr>
        <w:t xml:space="preserve"> </w:t>
      </w:r>
      <w:r>
        <w:t>the</w:t>
      </w:r>
      <w:r>
        <w:rPr>
          <w:spacing w:val="28"/>
        </w:rPr>
        <w:t xml:space="preserve"> </w:t>
      </w:r>
      <w:r>
        <w:t>originally</w:t>
      </w:r>
    </w:p>
    <w:p w14:paraId="269DF995" w14:textId="77777777" w:rsidR="00C23B76" w:rsidRDefault="00C23B76">
      <w:pPr>
        <w:jc w:val="both"/>
        <w:sectPr w:rsidR="00C23B76">
          <w:pgSz w:w="12240" w:h="15840"/>
          <w:pgMar w:top="1340" w:right="1320" w:bottom="1260" w:left="1340" w:header="182" w:footer="1066" w:gutter="0"/>
          <w:cols w:space="720"/>
        </w:sectPr>
      </w:pPr>
    </w:p>
    <w:p w14:paraId="269DF996" w14:textId="77777777" w:rsidR="00C23B76" w:rsidRDefault="00D65794">
      <w:pPr>
        <w:pStyle w:val="BodyText"/>
        <w:spacing w:before="90"/>
        <w:ind w:left="892" w:right="111"/>
        <w:jc w:val="both"/>
      </w:pPr>
      <w:r>
        <w:lastRenderedPageBreak/>
        <w:t>approved</w:t>
      </w:r>
      <w:r>
        <w:rPr>
          <w:spacing w:val="-8"/>
        </w:rPr>
        <w:t xml:space="preserve"> </w:t>
      </w:r>
      <w:r>
        <w:t>PMC.</w:t>
      </w:r>
      <w:r>
        <w:rPr>
          <w:spacing w:val="-6"/>
        </w:rPr>
        <w:t xml:space="preserve"> </w:t>
      </w:r>
      <w:r>
        <w:t>Further,</w:t>
      </w:r>
      <w:r>
        <w:rPr>
          <w:spacing w:val="-6"/>
        </w:rPr>
        <w:t xml:space="preserve"> </w:t>
      </w:r>
      <w:r>
        <w:t>the</w:t>
      </w:r>
      <w:r>
        <w:rPr>
          <w:spacing w:val="-3"/>
        </w:rPr>
        <w:t xml:space="preserve"> </w:t>
      </w:r>
      <w:r>
        <w:t>CO</w:t>
      </w:r>
      <w:r>
        <w:rPr>
          <w:spacing w:val="-5"/>
        </w:rPr>
        <w:t xml:space="preserve"> </w:t>
      </w:r>
      <w:r>
        <w:t>Resident</w:t>
      </w:r>
      <w:r>
        <w:rPr>
          <w:spacing w:val="-6"/>
        </w:rPr>
        <w:t xml:space="preserve"> </w:t>
      </w:r>
      <w:r>
        <w:t>Representative</w:t>
      </w:r>
      <w:r>
        <w:rPr>
          <w:spacing w:val="-5"/>
        </w:rPr>
        <w:t xml:space="preserve"> </w:t>
      </w:r>
      <w:r>
        <w:t>(RR)</w:t>
      </w:r>
      <w:r>
        <w:rPr>
          <w:spacing w:val="-4"/>
        </w:rPr>
        <w:t xml:space="preserve"> </w:t>
      </w:r>
      <w:r>
        <w:t>and/or</w:t>
      </w:r>
      <w:r>
        <w:rPr>
          <w:spacing w:val="-6"/>
        </w:rPr>
        <w:t xml:space="preserve"> </w:t>
      </w:r>
      <w:r>
        <w:t>Head</w:t>
      </w:r>
      <w:r>
        <w:rPr>
          <w:spacing w:val="-6"/>
        </w:rPr>
        <w:t xml:space="preserve"> </w:t>
      </w:r>
      <w:r>
        <w:t>of</w:t>
      </w:r>
      <w:r>
        <w:rPr>
          <w:spacing w:val="-6"/>
        </w:rPr>
        <w:t xml:space="preserve"> </w:t>
      </w:r>
      <w:r>
        <w:t>Office/Units</w:t>
      </w:r>
      <w:r>
        <w:rPr>
          <w:spacing w:val="-3"/>
        </w:rPr>
        <w:t xml:space="preserve"> </w:t>
      </w:r>
      <w:r>
        <w:t>acting as Project Business Units must clear the request, acknowledging that any CO oversight costs incurred during the extension period which exceed the originally approved GEF Fee, will be covered by non-vertical fund</w:t>
      </w:r>
      <w:r>
        <w:rPr>
          <w:spacing w:val="-2"/>
        </w:rPr>
        <w:t xml:space="preserve"> </w:t>
      </w:r>
      <w:r>
        <w:t>resources.</w:t>
      </w:r>
    </w:p>
    <w:p w14:paraId="269DF997" w14:textId="77777777" w:rsidR="00C23B76" w:rsidRDefault="00C23B76">
      <w:pPr>
        <w:pStyle w:val="BodyText"/>
      </w:pPr>
    </w:p>
    <w:p w14:paraId="269DF998" w14:textId="77777777" w:rsidR="00C23B76" w:rsidRDefault="00C23B76">
      <w:pPr>
        <w:pStyle w:val="BodyText"/>
        <w:spacing w:before="12"/>
        <w:rPr>
          <w:sz w:val="21"/>
        </w:rPr>
      </w:pPr>
    </w:p>
    <w:p w14:paraId="269DF999" w14:textId="77777777" w:rsidR="00C23B76" w:rsidRDefault="00D65794">
      <w:pPr>
        <w:pStyle w:val="Heading1"/>
        <w:numPr>
          <w:ilvl w:val="0"/>
          <w:numId w:val="24"/>
        </w:numPr>
        <w:tabs>
          <w:tab w:val="left" w:pos="461"/>
        </w:tabs>
        <w:ind w:hanging="361"/>
        <w:jc w:val="left"/>
      </w:pPr>
      <w:bookmarkStart w:id="6" w:name="8._Management_of_GEF_Agency_Fees_(Indire"/>
      <w:bookmarkEnd w:id="6"/>
      <w:r>
        <w:t>Management of GEF Agency Fees (Indirect</w:t>
      </w:r>
      <w:r>
        <w:rPr>
          <w:spacing w:val="-3"/>
        </w:rPr>
        <w:t xml:space="preserve"> </w:t>
      </w:r>
      <w:r>
        <w:t>Costs)</w:t>
      </w:r>
    </w:p>
    <w:p w14:paraId="269DF99A" w14:textId="77777777" w:rsidR="00C23B76" w:rsidRDefault="00C23B76">
      <w:pPr>
        <w:pStyle w:val="BodyText"/>
        <w:spacing w:before="10"/>
        <w:rPr>
          <w:b/>
          <w:sz w:val="31"/>
        </w:rPr>
      </w:pPr>
    </w:p>
    <w:p w14:paraId="269DF99B" w14:textId="77777777" w:rsidR="00C23B76" w:rsidRDefault="00D65794">
      <w:pPr>
        <w:pStyle w:val="ListParagraph"/>
        <w:numPr>
          <w:ilvl w:val="1"/>
          <w:numId w:val="24"/>
        </w:numPr>
        <w:tabs>
          <w:tab w:val="left" w:pos="893"/>
        </w:tabs>
        <w:spacing w:before="1"/>
        <w:ind w:right="145"/>
      </w:pPr>
      <w:r>
        <w:t>As per the GEF policy, an Agency fee for PCMS is provided to the GEF Agencies to enable them to manage a portfolio of projects and programmatic approaches, through the various phases of the project cycle including providing quality assurance and oversight (GEF/C.39/9). The fee covers the quality assurance and oversight services involved with GEF project identification, preparation of project concept, preparation of detailed project document, project approval and start-up, project implementation and supervision, and project completion and</w:t>
      </w:r>
      <w:r>
        <w:rPr>
          <w:spacing w:val="-19"/>
        </w:rPr>
        <w:t xml:space="preserve"> </w:t>
      </w:r>
      <w:r>
        <w:t>evaluation.</w:t>
      </w:r>
    </w:p>
    <w:p w14:paraId="269DF99C" w14:textId="3B01E5ED" w:rsidR="00C23B76" w:rsidRDefault="00D65794">
      <w:pPr>
        <w:pStyle w:val="ListParagraph"/>
        <w:numPr>
          <w:ilvl w:val="1"/>
          <w:numId w:val="24"/>
        </w:numPr>
        <w:tabs>
          <w:tab w:val="left" w:pos="893"/>
        </w:tabs>
        <w:spacing w:before="119"/>
        <w:ind w:right="114"/>
        <w:jc w:val="both"/>
      </w:pPr>
      <w:r>
        <w:t>The</w:t>
      </w:r>
      <w:r>
        <w:rPr>
          <w:color w:val="0000FF"/>
        </w:rPr>
        <w:t xml:space="preserve"> </w:t>
      </w:r>
      <w:hyperlink r:id="rId19" w:history="1">
        <w:r w:rsidRPr="006A368D">
          <w:rPr>
            <w:rStyle w:val="Hyperlink"/>
          </w:rPr>
          <w:t>POPP definition of GMS</w:t>
        </w:r>
      </w:hyperlink>
      <w:r>
        <w:rPr>
          <w:color w:val="0000FF"/>
        </w:rPr>
        <w:t xml:space="preserve"> </w:t>
      </w:r>
      <w:r>
        <w:t>is: “the costs to UNDP that are in addition to direct project costs associated</w:t>
      </w:r>
      <w:r>
        <w:rPr>
          <w:spacing w:val="-11"/>
        </w:rPr>
        <w:t xml:space="preserve"> </w:t>
      </w:r>
      <w:r>
        <w:t>with</w:t>
      </w:r>
      <w:r>
        <w:rPr>
          <w:spacing w:val="-10"/>
        </w:rPr>
        <w:t xml:space="preserve"> </w:t>
      </w:r>
      <w:r>
        <w:t>managing</w:t>
      </w:r>
      <w:r>
        <w:rPr>
          <w:spacing w:val="-10"/>
        </w:rPr>
        <w:t xml:space="preserve"> </w:t>
      </w:r>
      <w:r>
        <w:t>the</w:t>
      </w:r>
      <w:r>
        <w:rPr>
          <w:spacing w:val="-6"/>
        </w:rPr>
        <w:t xml:space="preserve"> </w:t>
      </w:r>
      <w:r>
        <w:t>implementation</w:t>
      </w:r>
      <w:r>
        <w:rPr>
          <w:spacing w:val="-11"/>
        </w:rPr>
        <w:t xml:space="preserve"> </w:t>
      </w:r>
      <w:r>
        <w:t>of</w:t>
      </w:r>
      <w:r>
        <w:rPr>
          <w:spacing w:val="-10"/>
        </w:rPr>
        <w:t xml:space="preserve"> </w:t>
      </w:r>
      <w:r>
        <w:t>programmes</w:t>
      </w:r>
      <w:r>
        <w:rPr>
          <w:spacing w:val="-9"/>
        </w:rPr>
        <w:t xml:space="preserve"> </w:t>
      </w:r>
      <w:r>
        <w:t>are</w:t>
      </w:r>
      <w:r>
        <w:rPr>
          <w:spacing w:val="-9"/>
        </w:rPr>
        <w:t xml:space="preserve"> </w:t>
      </w:r>
      <w:r>
        <w:t>levied</w:t>
      </w:r>
      <w:r>
        <w:rPr>
          <w:spacing w:val="-10"/>
        </w:rPr>
        <w:t xml:space="preserve"> </w:t>
      </w:r>
      <w:r>
        <w:t>through</w:t>
      </w:r>
      <w:r>
        <w:rPr>
          <w:spacing w:val="-11"/>
        </w:rPr>
        <w:t xml:space="preserve"> </w:t>
      </w:r>
      <w:r>
        <w:t>the</w:t>
      </w:r>
      <w:r>
        <w:rPr>
          <w:spacing w:val="-7"/>
        </w:rPr>
        <w:t xml:space="preserve"> </w:t>
      </w:r>
      <w:r>
        <w:t>application of the General Management Service (GMS)</w:t>
      </w:r>
      <w:r>
        <w:rPr>
          <w:spacing w:val="-4"/>
        </w:rPr>
        <w:t xml:space="preserve"> </w:t>
      </w:r>
      <w:r>
        <w:t>fee.”</w:t>
      </w:r>
    </w:p>
    <w:p w14:paraId="269DF99D" w14:textId="77777777" w:rsidR="00C23B76" w:rsidRDefault="00D65794">
      <w:pPr>
        <w:pStyle w:val="ListParagraph"/>
        <w:numPr>
          <w:ilvl w:val="1"/>
          <w:numId w:val="24"/>
        </w:numPr>
        <w:tabs>
          <w:tab w:val="left" w:pos="893"/>
        </w:tabs>
        <w:spacing w:before="121"/>
        <w:ind w:right="111"/>
        <w:jc w:val="both"/>
      </w:pPr>
      <w:r>
        <w:t>GEF Agency Fee does not equal UNDP GMS. GEF Project cycle management services are the ‘quality</w:t>
      </w:r>
      <w:r>
        <w:rPr>
          <w:spacing w:val="-3"/>
        </w:rPr>
        <w:t xml:space="preserve"> </w:t>
      </w:r>
      <w:r>
        <w:t>assurance</w:t>
      </w:r>
      <w:r>
        <w:rPr>
          <w:spacing w:val="-3"/>
        </w:rPr>
        <w:t xml:space="preserve"> </w:t>
      </w:r>
      <w:r>
        <w:t>and</w:t>
      </w:r>
      <w:r>
        <w:rPr>
          <w:spacing w:val="-5"/>
        </w:rPr>
        <w:t xml:space="preserve"> </w:t>
      </w:r>
      <w:r>
        <w:t>oversight’</w:t>
      </w:r>
      <w:r>
        <w:rPr>
          <w:spacing w:val="-3"/>
        </w:rPr>
        <w:t xml:space="preserve"> </w:t>
      </w:r>
      <w:r>
        <w:t>services</w:t>
      </w:r>
      <w:r>
        <w:rPr>
          <w:spacing w:val="-3"/>
        </w:rPr>
        <w:t xml:space="preserve"> </w:t>
      </w:r>
      <w:r>
        <w:t>that</w:t>
      </w:r>
      <w:r>
        <w:rPr>
          <w:spacing w:val="-3"/>
        </w:rPr>
        <w:t xml:space="preserve"> </w:t>
      </w:r>
      <w:r>
        <w:t>UNDP</w:t>
      </w:r>
      <w:r>
        <w:rPr>
          <w:spacing w:val="-4"/>
        </w:rPr>
        <w:t xml:space="preserve"> </w:t>
      </w:r>
      <w:r>
        <w:t>must</w:t>
      </w:r>
      <w:r>
        <w:rPr>
          <w:spacing w:val="-3"/>
        </w:rPr>
        <w:t xml:space="preserve"> </w:t>
      </w:r>
      <w:r>
        <w:t>provide</w:t>
      </w:r>
      <w:r>
        <w:rPr>
          <w:spacing w:val="-3"/>
        </w:rPr>
        <w:t xml:space="preserve"> </w:t>
      </w:r>
      <w:r>
        <w:t>throughout</w:t>
      </w:r>
      <w:r>
        <w:rPr>
          <w:spacing w:val="-3"/>
        </w:rPr>
        <w:t xml:space="preserve"> </w:t>
      </w:r>
      <w:r>
        <w:t>the</w:t>
      </w:r>
      <w:r>
        <w:rPr>
          <w:spacing w:val="-3"/>
        </w:rPr>
        <w:t xml:space="preserve"> </w:t>
      </w:r>
      <w:r>
        <w:t>project</w:t>
      </w:r>
      <w:r>
        <w:rPr>
          <w:spacing w:val="-3"/>
        </w:rPr>
        <w:t xml:space="preserve"> </w:t>
      </w:r>
      <w:r>
        <w:t>cycle. GEF purchases these via the service fee, which it disburses to agencies based on performance.</w:t>
      </w:r>
      <w:r>
        <w:rPr>
          <w:spacing w:val="-32"/>
        </w:rPr>
        <w:t xml:space="preserve"> </w:t>
      </w:r>
      <w:r>
        <w:t>A portion of the fee must be returned if the project is cancelled. Additionally, agencies must provide portfolio-wide ‘corporate services’ to the</w:t>
      </w:r>
      <w:r>
        <w:rPr>
          <w:spacing w:val="-6"/>
        </w:rPr>
        <w:t xml:space="preserve"> </w:t>
      </w:r>
      <w:r>
        <w:t>GEF.</w:t>
      </w:r>
    </w:p>
    <w:p w14:paraId="269DF99E" w14:textId="5EC9884A" w:rsidR="00C23B76" w:rsidRDefault="00D65794">
      <w:pPr>
        <w:pStyle w:val="ListParagraph"/>
        <w:numPr>
          <w:ilvl w:val="1"/>
          <w:numId w:val="24"/>
        </w:numPr>
        <w:tabs>
          <w:tab w:val="left" w:pos="893"/>
        </w:tabs>
        <w:spacing w:before="121"/>
        <w:ind w:right="114"/>
        <w:jc w:val="both"/>
      </w:pPr>
      <w:r>
        <w:t>The internal distribution of earnings of GEF Agency Fee (based on project delivery/GL expense) follows the POPP</w:t>
      </w:r>
      <w:r>
        <w:rPr>
          <w:color w:val="0000FF"/>
        </w:rPr>
        <w:t xml:space="preserve"> </w:t>
      </w:r>
      <w:hyperlink r:id="rId20" w:history="1">
        <w:r w:rsidRPr="00DE15A1">
          <w:rPr>
            <w:rStyle w:val="Hyperlink"/>
          </w:rPr>
          <w:t>Resource Planning and Cost Recovery</w:t>
        </w:r>
        <w:r w:rsidRPr="00DE15A1">
          <w:rPr>
            <w:rStyle w:val="Hyperlink"/>
            <w:spacing w:val="-9"/>
          </w:rPr>
          <w:t xml:space="preserve"> </w:t>
        </w:r>
        <w:r w:rsidRPr="00DE15A1">
          <w:rPr>
            <w:rStyle w:val="Hyperlink"/>
          </w:rPr>
          <w:t>section</w:t>
        </w:r>
      </w:hyperlink>
      <w:r>
        <w:t>.</w:t>
      </w:r>
    </w:p>
    <w:p w14:paraId="269DF99F" w14:textId="77777777" w:rsidR="00C23B76" w:rsidRDefault="00D65794">
      <w:pPr>
        <w:pStyle w:val="ListParagraph"/>
        <w:numPr>
          <w:ilvl w:val="1"/>
          <w:numId w:val="24"/>
        </w:numPr>
        <w:tabs>
          <w:tab w:val="left" w:pos="893"/>
        </w:tabs>
        <w:spacing w:before="119"/>
        <w:ind w:right="111"/>
        <w:jc w:val="both"/>
      </w:pPr>
      <w:r>
        <w:t>In Atlas, GEF Agency Fee is not included in the project budget and is monitored under two other fund codes (Fund ID 62050 and 62999). GEF Agency Fee expenses are recorded under CO’s Expense Department/Operating Unit, account 75105, fund 62050, and donor code 10003. The revenue (GMS earning, as per UNDP terminology) of GEF Agency Fee is recorded under CO’s expense department/Operating Unit, account 54010, fund 11300, and donor code 10003. COs earn GEF Agency Fee based on delivery. UNDP corporate level automatically processes the fee monthly. Manual entries are not permitted except those processed by the BPPS NCE-VF Unit for adjustment</w:t>
      </w:r>
      <w:r>
        <w:rPr>
          <w:spacing w:val="-1"/>
        </w:rPr>
        <w:t xml:space="preserve"> </w:t>
      </w:r>
      <w:r>
        <w:t>purposes.</w:t>
      </w:r>
    </w:p>
    <w:p w14:paraId="269DF9A0" w14:textId="7B1C37E1" w:rsidR="00C23B76" w:rsidRDefault="00D65794">
      <w:pPr>
        <w:pStyle w:val="BodyText"/>
        <w:spacing w:before="122"/>
        <w:ind w:left="820" w:right="113"/>
        <w:jc w:val="both"/>
      </w:pPr>
      <w:r>
        <w:t>BPPS</w:t>
      </w:r>
      <w:r>
        <w:rPr>
          <w:spacing w:val="-6"/>
        </w:rPr>
        <w:t xml:space="preserve"> </w:t>
      </w:r>
      <w:r>
        <w:t>NCE-VF</w:t>
      </w:r>
      <w:r>
        <w:rPr>
          <w:spacing w:val="-5"/>
        </w:rPr>
        <w:t xml:space="preserve"> </w:t>
      </w:r>
      <w:r>
        <w:t>enters</w:t>
      </w:r>
      <w:r>
        <w:rPr>
          <w:spacing w:val="-6"/>
        </w:rPr>
        <w:t xml:space="preserve"> </w:t>
      </w:r>
      <w:r>
        <w:t>and</w:t>
      </w:r>
      <w:r>
        <w:rPr>
          <w:spacing w:val="-8"/>
        </w:rPr>
        <w:t xml:space="preserve"> </w:t>
      </w:r>
      <w:r>
        <w:t>monitors</w:t>
      </w:r>
      <w:r>
        <w:rPr>
          <w:spacing w:val="-5"/>
        </w:rPr>
        <w:t xml:space="preserve"> </w:t>
      </w:r>
      <w:r>
        <w:t>the</w:t>
      </w:r>
      <w:r>
        <w:rPr>
          <w:spacing w:val="-6"/>
        </w:rPr>
        <w:t xml:space="preserve"> </w:t>
      </w:r>
      <w:r>
        <w:t>GEF</w:t>
      </w:r>
      <w:r>
        <w:rPr>
          <w:spacing w:val="-5"/>
        </w:rPr>
        <w:t xml:space="preserve"> </w:t>
      </w:r>
      <w:r>
        <w:t>Agency</w:t>
      </w:r>
      <w:r>
        <w:rPr>
          <w:spacing w:val="-5"/>
        </w:rPr>
        <w:t xml:space="preserve"> </w:t>
      </w:r>
      <w:r>
        <w:t>Fee</w:t>
      </w:r>
      <w:r>
        <w:rPr>
          <w:spacing w:val="-7"/>
        </w:rPr>
        <w:t xml:space="preserve"> </w:t>
      </w:r>
      <w:r w:rsidRPr="00FA76E7">
        <w:t>in</w:t>
      </w:r>
      <w:r w:rsidRPr="00FA76E7">
        <w:rPr>
          <w:spacing w:val="-6"/>
        </w:rPr>
        <w:t xml:space="preserve"> </w:t>
      </w:r>
      <w:hyperlink r:id="rId21" w:history="1">
        <w:r w:rsidRPr="00FA76E7">
          <w:rPr>
            <w:rStyle w:val="Hyperlink"/>
          </w:rPr>
          <w:t>Atlas</w:t>
        </w:r>
      </w:hyperlink>
      <w:r w:rsidRPr="00FA76E7">
        <w:rPr>
          <w:spacing w:val="-6"/>
        </w:rPr>
        <w:t xml:space="preserve"> </w:t>
      </w:r>
      <w:r w:rsidRPr="00FA76E7">
        <w:t>as</w:t>
      </w:r>
      <w:r w:rsidRPr="00FA76E7">
        <w:rPr>
          <w:spacing w:val="-5"/>
        </w:rPr>
        <w:t xml:space="preserve"> </w:t>
      </w:r>
      <w:r w:rsidRPr="00FA76E7">
        <w:t>per</w:t>
      </w:r>
      <w:r w:rsidRPr="00FA76E7">
        <w:rPr>
          <w:spacing w:val="-4"/>
        </w:rPr>
        <w:t xml:space="preserve"> </w:t>
      </w:r>
      <w:r w:rsidRPr="00FA76E7">
        <w:t>UNDP’s</w:t>
      </w:r>
      <w:r w:rsidRPr="00FA76E7">
        <w:rPr>
          <w:spacing w:val="-6"/>
        </w:rPr>
        <w:t xml:space="preserve"> </w:t>
      </w:r>
      <w:r w:rsidRPr="00FA76E7">
        <w:t>internal</w:t>
      </w:r>
      <w:r w:rsidRPr="00FA76E7">
        <w:rPr>
          <w:spacing w:val="-5"/>
        </w:rPr>
        <w:t xml:space="preserve"> </w:t>
      </w:r>
      <w:r>
        <w:t>distribution policy for GEF Funds. GEF Fee revenue to respective UNDP Units is recorded in Atlas by expenditure departments and GEF donor code (10003) (refer to para 8.5), and can be extracted accordingly.</w:t>
      </w:r>
      <w:r>
        <w:rPr>
          <w:spacing w:val="-12"/>
        </w:rPr>
        <w:t xml:space="preserve"> </w:t>
      </w:r>
      <w:r>
        <w:t>COs</w:t>
      </w:r>
      <w:r>
        <w:rPr>
          <w:spacing w:val="-10"/>
        </w:rPr>
        <w:t xml:space="preserve"> </w:t>
      </w:r>
      <w:r>
        <w:t>must</w:t>
      </w:r>
      <w:r>
        <w:rPr>
          <w:spacing w:val="-10"/>
        </w:rPr>
        <w:t xml:space="preserve"> </w:t>
      </w:r>
      <w:r>
        <w:t>establish</w:t>
      </w:r>
      <w:r>
        <w:rPr>
          <w:spacing w:val="-11"/>
        </w:rPr>
        <w:t xml:space="preserve"> </w:t>
      </w:r>
      <w:r>
        <w:t>delivery</w:t>
      </w:r>
      <w:r>
        <w:rPr>
          <w:spacing w:val="-12"/>
        </w:rPr>
        <w:t xml:space="preserve"> </w:t>
      </w:r>
      <w:r>
        <w:t>targets</w:t>
      </w:r>
      <w:r>
        <w:rPr>
          <w:spacing w:val="-11"/>
        </w:rPr>
        <w:t xml:space="preserve"> </w:t>
      </w:r>
      <w:r>
        <w:t>in</w:t>
      </w:r>
      <w:r>
        <w:rPr>
          <w:spacing w:val="-11"/>
        </w:rPr>
        <w:t xml:space="preserve"> </w:t>
      </w:r>
      <w:r>
        <w:t>discussion</w:t>
      </w:r>
      <w:r>
        <w:rPr>
          <w:spacing w:val="-11"/>
        </w:rPr>
        <w:t xml:space="preserve"> </w:t>
      </w:r>
      <w:r>
        <w:t>with</w:t>
      </w:r>
      <w:r>
        <w:rPr>
          <w:spacing w:val="-11"/>
        </w:rPr>
        <w:t xml:space="preserve"> </w:t>
      </w:r>
      <w:r>
        <w:t>Regional</w:t>
      </w:r>
      <w:r>
        <w:rPr>
          <w:spacing w:val="-11"/>
        </w:rPr>
        <w:t xml:space="preserve"> </w:t>
      </w:r>
      <w:r>
        <w:t>Bureaus</w:t>
      </w:r>
      <w:r>
        <w:rPr>
          <w:spacing w:val="-11"/>
        </w:rPr>
        <w:t xml:space="preserve"> </w:t>
      </w:r>
      <w:r>
        <w:t>(cost</w:t>
      </w:r>
      <w:r>
        <w:rPr>
          <w:spacing w:val="-10"/>
        </w:rPr>
        <w:t xml:space="preserve"> </w:t>
      </w:r>
      <w:r>
        <w:t>centers) in order to access Institution Budget resources (earned on GEF project delivery) so as to provide the required oversight services (Project Cycle Management Services, PCMS). See Annex I for details on services covered by the GEF Agency</w:t>
      </w:r>
      <w:r>
        <w:rPr>
          <w:spacing w:val="-8"/>
        </w:rPr>
        <w:t xml:space="preserve"> </w:t>
      </w:r>
      <w:r>
        <w:t>Fee.</w:t>
      </w:r>
    </w:p>
    <w:p w14:paraId="269DF9A1" w14:textId="77777777" w:rsidR="00C23B76" w:rsidRDefault="00C23B76">
      <w:pPr>
        <w:jc w:val="both"/>
        <w:sectPr w:rsidR="00C23B76">
          <w:pgSz w:w="12240" w:h="15840"/>
          <w:pgMar w:top="1340" w:right="1320" w:bottom="1260" w:left="1340" w:header="182" w:footer="1066" w:gutter="0"/>
          <w:cols w:space="720"/>
        </w:sectPr>
      </w:pPr>
    </w:p>
    <w:p w14:paraId="269DF9A2" w14:textId="2C5948C2" w:rsidR="00C23B76" w:rsidRDefault="00AF49B0">
      <w:pPr>
        <w:spacing w:before="90"/>
        <w:ind w:left="100"/>
        <w:rPr>
          <w:i/>
        </w:rPr>
      </w:pPr>
      <w:r>
        <w:rPr>
          <w:noProof/>
        </w:rPr>
        <w:lastRenderedPageBreak/>
        <mc:AlternateContent>
          <mc:Choice Requires="wps">
            <w:drawing>
              <wp:anchor distT="0" distB="0" distL="114300" distR="114300" simplePos="0" relativeHeight="250644480" behindDoc="1" locked="0" layoutInCell="1" allowOverlap="1" wp14:anchorId="269DFB73" wp14:editId="38E46090">
                <wp:simplePos x="0" y="0"/>
                <wp:positionH relativeFrom="page">
                  <wp:posOffset>986155</wp:posOffset>
                </wp:positionH>
                <wp:positionV relativeFrom="page">
                  <wp:posOffset>4493260</wp:posOffset>
                </wp:positionV>
                <wp:extent cx="46990" cy="4445"/>
                <wp:effectExtent l="0" t="0" r="0"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FDB981" id="Rectangle 9" o:spid="_x0000_s1026" style="position:absolute;margin-left:77.65pt;margin-top:353.8pt;width:3.7pt;height:.35pt;z-index:-2526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" fillcolor="black" stroked="f">
                <w10:wrap anchorx="page" anchory="page"/>
              </v:rect>
            </w:pict>
          </mc:Fallback>
        </mc:AlternateContent>
      </w:r>
      <w:r w:rsidR="00D65794">
        <w:rPr>
          <w:i/>
          <w:u w:val="single"/>
        </w:rPr>
        <w:t>Table 1 – GEF table of direct costs (project budget) and indirect costs (GEF Fee)</w:t>
      </w:r>
    </w:p>
    <w:p w14:paraId="269DF9A3" w14:textId="77777777" w:rsidR="00C23B76" w:rsidRDefault="00C23B76">
      <w:pPr>
        <w:pStyle w:val="BodyText"/>
        <w:spacing w:before="2"/>
        <w:rPr>
          <w: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C23B76" w14:paraId="269DF9E4" w14:textId="77777777">
        <w:trPr>
          <w:trHeight w:val="12315"/>
        </w:trPr>
        <w:tc>
          <w:tcPr>
            <w:tcW w:w="4676" w:type="dxa"/>
          </w:tcPr>
          <w:p w14:paraId="269DF9A4" w14:textId="77777777" w:rsidR="00C23B76" w:rsidRDefault="00D65794">
            <w:pPr>
              <w:pStyle w:val="TableParagraph"/>
              <w:spacing w:line="194" w:lineRule="exact"/>
              <w:ind w:left="1206"/>
              <w:rPr>
                <w:rFonts w:ascii="Calibri" w:hAnsi="Calibri"/>
                <w:b/>
                <w:sz w:val="16"/>
              </w:rPr>
            </w:pPr>
            <w:r>
              <w:rPr>
                <w:rFonts w:ascii="Calibri" w:hAnsi="Calibri"/>
                <w:b/>
                <w:color w:val="1F487C"/>
                <w:sz w:val="16"/>
              </w:rPr>
              <w:t>DIRECT COSTS – GEF Grant budget</w:t>
            </w:r>
          </w:p>
          <w:p w14:paraId="269DF9A5" w14:textId="77777777" w:rsidR="00C23B76" w:rsidRDefault="00C23B76">
            <w:pPr>
              <w:pStyle w:val="TableParagraph"/>
              <w:ind w:left="0"/>
              <w:rPr>
                <w:rFonts w:ascii="Calibri"/>
                <w:i/>
                <w:sz w:val="16"/>
              </w:rPr>
            </w:pPr>
          </w:p>
          <w:p w14:paraId="269DF9A6" w14:textId="77777777" w:rsidR="00C23B76" w:rsidRDefault="00D65794">
            <w:pPr>
              <w:pStyle w:val="TableParagraph"/>
              <w:ind w:right="93"/>
              <w:jc w:val="both"/>
              <w:rPr>
                <w:rFonts w:ascii="Calibri"/>
                <w:b/>
                <w:sz w:val="16"/>
              </w:rPr>
            </w:pPr>
            <w:r>
              <w:rPr>
                <w:rFonts w:ascii="Calibri"/>
                <w:b/>
                <w:sz w:val="16"/>
              </w:rPr>
              <w:t xml:space="preserve">I. Costs that (1) can be directly linked to a GEF project in a reasonable and economically feasible way, and (2) </w:t>
            </w:r>
            <w:r>
              <w:rPr>
                <w:rFonts w:ascii="Calibri"/>
                <w:b/>
                <w:sz w:val="16"/>
                <w:u w:val="single"/>
              </w:rPr>
              <w:t>must be part of the</w:t>
            </w:r>
            <w:r>
              <w:rPr>
                <w:rFonts w:ascii="Calibri"/>
                <w:b/>
                <w:spacing w:val="-8"/>
                <w:sz w:val="16"/>
                <w:u w:val="single"/>
              </w:rPr>
              <w:t xml:space="preserve"> </w:t>
            </w:r>
            <w:r>
              <w:rPr>
                <w:rFonts w:ascii="Calibri"/>
                <w:b/>
                <w:sz w:val="16"/>
                <w:u w:val="single"/>
              </w:rPr>
              <w:t>Total</w:t>
            </w:r>
            <w:r>
              <w:rPr>
                <w:rFonts w:ascii="Calibri"/>
                <w:b/>
                <w:spacing w:val="-13"/>
                <w:sz w:val="16"/>
                <w:u w:val="single"/>
              </w:rPr>
              <w:t xml:space="preserve"> </w:t>
            </w:r>
            <w:r>
              <w:rPr>
                <w:rFonts w:ascii="Calibri"/>
                <w:b/>
                <w:sz w:val="16"/>
                <w:u w:val="single"/>
              </w:rPr>
              <w:t>Budget</w:t>
            </w:r>
            <w:r>
              <w:rPr>
                <w:rFonts w:ascii="Calibri"/>
                <w:b/>
                <w:spacing w:val="-9"/>
                <w:sz w:val="16"/>
                <w:u w:val="single"/>
              </w:rPr>
              <w:t xml:space="preserve"> </w:t>
            </w:r>
            <w:r>
              <w:rPr>
                <w:rFonts w:ascii="Calibri"/>
                <w:b/>
                <w:sz w:val="16"/>
                <w:u w:val="single"/>
              </w:rPr>
              <w:t>and</w:t>
            </w:r>
            <w:r>
              <w:rPr>
                <w:rFonts w:ascii="Calibri"/>
                <w:b/>
                <w:spacing w:val="-9"/>
                <w:sz w:val="16"/>
                <w:u w:val="single"/>
              </w:rPr>
              <w:t xml:space="preserve"> </w:t>
            </w:r>
            <w:r>
              <w:rPr>
                <w:rFonts w:ascii="Calibri"/>
                <w:b/>
                <w:sz w:val="16"/>
                <w:u w:val="single"/>
              </w:rPr>
              <w:t>Workplan</w:t>
            </w:r>
            <w:r>
              <w:rPr>
                <w:rFonts w:ascii="Calibri"/>
                <w:b/>
                <w:spacing w:val="-11"/>
                <w:sz w:val="16"/>
                <w:u w:val="single"/>
              </w:rPr>
              <w:t xml:space="preserve"> </w:t>
            </w:r>
            <w:r>
              <w:rPr>
                <w:rFonts w:ascii="Calibri"/>
                <w:b/>
                <w:sz w:val="16"/>
                <w:u w:val="single"/>
              </w:rPr>
              <w:t>(TBWP)</w:t>
            </w:r>
            <w:r>
              <w:rPr>
                <w:rFonts w:ascii="Calibri"/>
                <w:b/>
                <w:spacing w:val="-7"/>
                <w:sz w:val="16"/>
                <w:u w:val="single"/>
              </w:rPr>
              <w:t xml:space="preserve"> </w:t>
            </w:r>
            <w:r>
              <w:rPr>
                <w:rFonts w:ascii="Calibri"/>
                <w:b/>
                <w:sz w:val="16"/>
                <w:u w:val="single"/>
              </w:rPr>
              <w:t>of</w:t>
            </w:r>
            <w:r>
              <w:rPr>
                <w:rFonts w:ascii="Calibri"/>
                <w:b/>
                <w:spacing w:val="-9"/>
                <w:sz w:val="16"/>
                <w:u w:val="single"/>
              </w:rPr>
              <w:t xml:space="preserve"> </w:t>
            </w:r>
            <w:r>
              <w:rPr>
                <w:rFonts w:ascii="Calibri"/>
                <w:b/>
                <w:sz w:val="16"/>
                <w:u w:val="single"/>
              </w:rPr>
              <w:t>the</w:t>
            </w:r>
            <w:r>
              <w:rPr>
                <w:rFonts w:ascii="Calibri"/>
                <w:b/>
                <w:spacing w:val="-10"/>
                <w:sz w:val="16"/>
                <w:u w:val="single"/>
              </w:rPr>
              <w:t xml:space="preserve"> </w:t>
            </w:r>
            <w:r>
              <w:rPr>
                <w:rFonts w:ascii="Calibri"/>
                <w:b/>
                <w:sz w:val="16"/>
                <w:u w:val="single"/>
              </w:rPr>
              <w:t>GEF-approved</w:t>
            </w:r>
            <w:r>
              <w:rPr>
                <w:rFonts w:ascii="Calibri"/>
                <w:b/>
                <w:spacing w:val="-11"/>
                <w:sz w:val="16"/>
                <w:u w:val="single"/>
              </w:rPr>
              <w:t xml:space="preserve"> </w:t>
            </w:r>
            <w:r>
              <w:rPr>
                <w:rFonts w:ascii="Calibri"/>
                <w:b/>
                <w:sz w:val="16"/>
                <w:u w:val="single"/>
              </w:rPr>
              <w:t>Project document</w:t>
            </w:r>
            <w:r>
              <w:rPr>
                <w:rFonts w:ascii="Calibri"/>
                <w:b/>
                <w:sz w:val="16"/>
              </w:rPr>
              <w:t>. Note that total project management costs cannot exceed the GEF-approved PMC budget, which is</w:t>
            </w:r>
            <w:r>
              <w:rPr>
                <w:rFonts w:ascii="Calibri"/>
                <w:b/>
                <w:spacing w:val="-10"/>
                <w:sz w:val="16"/>
              </w:rPr>
              <w:t xml:space="preserve"> </w:t>
            </w:r>
            <w:r>
              <w:rPr>
                <w:rFonts w:ascii="Calibri"/>
                <w:b/>
                <w:sz w:val="16"/>
              </w:rPr>
              <w:t>capped.</w:t>
            </w:r>
          </w:p>
          <w:p w14:paraId="269DF9A7" w14:textId="77777777" w:rsidR="00C23B76" w:rsidRDefault="00C23B76">
            <w:pPr>
              <w:pStyle w:val="TableParagraph"/>
              <w:ind w:left="0"/>
              <w:rPr>
                <w:rFonts w:ascii="Calibri"/>
                <w:i/>
                <w:sz w:val="16"/>
              </w:rPr>
            </w:pPr>
          </w:p>
          <w:p w14:paraId="269DF9A8" w14:textId="77777777" w:rsidR="00C23B76" w:rsidRDefault="00D65794">
            <w:pPr>
              <w:pStyle w:val="TableParagraph"/>
              <w:numPr>
                <w:ilvl w:val="0"/>
                <w:numId w:val="22"/>
              </w:numPr>
              <w:tabs>
                <w:tab w:val="left" w:pos="467"/>
                <w:tab w:val="left" w:pos="468"/>
              </w:tabs>
              <w:spacing w:before="1"/>
              <w:ind w:right="217"/>
              <w:rPr>
                <w:rFonts w:ascii="Calibri" w:hAnsi="Calibri"/>
                <w:sz w:val="16"/>
              </w:rPr>
            </w:pPr>
            <w:r>
              <w:rPr>
                <w:rFonts w:ascii="Calibri" w:hAnsi="Calibri"/>
                <w:sz w:val="16"/>
              </w:rPr>
              <w:t xml:space="preserve">Cost of personnel, UN-Volunteers, and consultants </w:t>
            </w:r>
            <w:r>
              <w:rPr>
                <w:rFonts w:ascii="Calibri" w:hAnsi="Calibri"/>
                <w:sz w:val="16"/>
                <w:u w:val="single"/>
              </w:rPr>
              <w:t>hired for GEF projects</w:t>
            </w:r>
            <w:r>
              <w:rPr>
                <w:rFonts w:ascii="Calibri" w:hAnsi="Calibri"/>
                <w:sz w:val="16"/>
              </w:rPr>
              <w:t>, e.g., technical specialists and project management unit (PMU) staff (depending on project type, complexity, and donor policy; these include project manager, project assistant, technical specialist(s), procurement specialist, financial</w:t>
            </w:r>
            <w:r>
              <w:rPr>
                <w:rFonts w:ascii="Calibri" w:hAnsi="Calibri"/>
                <w:spacing w:val="-3"/>
                <w:sz w:val="16"/>
              </w:rPr>
              <w:t xml:space="preserve"> </w:t>
            </w:r>
            <w:r>
              <w:rPr>
                <w:rFonts w:ascii="Calibri" w:hAnsi="Calibri"/>
                <w:sz w:val="16"/>
              </w:rPr>
              <w:t>specialist).</w:t>
            </w:r>
          </w:p>
          <w:p w14:paraId="269DF9A9" w14:textId="77777777" w:rsidR="00C23B76" w:rsidRDefault="00D65794">
            <w:pPr>
              <w:pStyle w:val="TableParagraph"/>
              <w:numPr>
                <w:ilvl w:val="0"/>
                <w:numId w:val="22"/>
              </w:numPr>
              <w:tabs>
                <w:tab w:val="left" w:pos="467"/>
                <w:tab w:val="left" w:pos="468"/>
              </w:tabs>
              <w:ind w:hanging="361"/>
              <w:rPr>
                <w:rFonts w:ascii="Calibri" w:hAnsi="Calibri"/>
                <w:sz w:val="16"/>
              </w:rPr>
            </w:pPr>
            <w:r>
              <w:rPr>
                <w:rFonts w:ascii="Calibri" w:hAnsi="Calibri"/>
                <w:sz w:val="16"/>
              </w:rPr>
              <w:t>Cost of missions and travel by project</w:t>
            </w:r>
            <w:r>
              <w:rPr>
                <w:rFonts w:ascii="Calibri" w:hAnsi="Calibri"/>
                <w:spacing w:val="-15"/>
                <w:sz w:val="16"/>
              </w:rPr>
              <w:t xml:space="preserve"> </w:t>
            </w:r>
            <w:r>
              <w:rPr>
                <w:rFonts w:ascii="Calibri" w:hAnsi="Calibri"/>
                <w:sz w:val="16"/>
              </w:rPr>
              <w:t>personnel/consultants.</w:t>
            </w:r>
          </w:p>
          <w:p w14:paraId="269DF9AA" w14:textId="77777777" w:rsidR="00C23B76" w:rsidRDefault="00D65794">
            <w:pPr>
              <w:pStyle w:val="TableParagraph"/>
              <w:numPr>
                <w:ilvl w:val="0"/>
                <w:numId w:val="22"/>
              </w:numPr>
              <w:tabs>
                <w:tab w:val="left" w:pos="467"/>
                <w:tab w:val="left" w:pos="468"/>
              </w:tabs>
              <w:spacing w:before="1"/>
              <w:ind w:hanging="361"/>
              <w:rPr>
                <w:rFonts w:ascii="Calibri" w:hAnsi="Calibri"/>
                <w:sz w:val="16"/>
              </w:rPr>
            </w:pPr>
            <w:r>
              <w:rPr>
                <w:rFonts w:ascii="Calibri" w:hAnsi="Calibri"/>
                <w:sz w:val="16"/>
              </w:rPr>
              <w:t>Costs of contractual services (Individual or</w:t>
            </w:r>
            <w:r>
              <w:rPr>
                <w:rFonts w:ascii="Calibri" w:hAnsi="Calibri"/>
                <w:spacing w:val="-12"/>
                <w:sz w:val="16"/>
              </w:rPr>
              <w:t xml:space="preserve"> </w:t>
            </w:r>
            <w:r>
              <w:rPr>
                <w:rFonts w:ascii="Calibri" w:hAnsi="Calibri"/>
                <w:sz w:val="16"/>
              </w:rPr>
              <w:t>companies).</w:t>
            </w:r>
          </w:p>
          <w:p w14:paraId="269DF9AB" w14:textId="77777777" w:rsidR="00C23B76" w:rsidRDefault="00D65794">
            <w:pPr>
              <w:pStyle w:val="TableParagraph"/>
              <w:numPr>
                <w:ilvl w:val="0"/>
                <w:numId w:val="22"/>
              </w:numPr>
              <w:tabs>
                <w:tab w:val="left" w:pos="467"/>
                <w:tab w:val="left" w:pos="468"/>
              </w:tabs>
              <w:ind w:hanging="361"/>
              <w:rPr>
                <w:rFonts w:ascii="Calibri" w:hAnsi="Calibri"/>
                <w:sz w:val="16"/>
              </w:rPr>
            </w:pPr>
            <w:r>
              <w:rPr>
                <w:rFonts w:ascii="Calibri" w:hAnsi="Calibri"/>
                <w:sz w:val="16"/>
              </w:rPr>
              <w:t>Cost of goods or</w:t>
            </w:r>
            <w:r>
              <w:rPr>
                <w:rFonts w:ascii="Calibri" w:hAnsi="Calibri"/>
                <w:spacing w:val="-6"/>
                <w:sz w:val="16"/>
              </w:rPr>
              <w:t xml:space="preserve"> </w:t>
            </w:r>
            <w:r>
              <w:rPr>
                <w:rFonts w:ascii="Calibri" w:hAnsi="Calibri"/>
                <w:sz w:val="16"/>
              </w:rPr>
              <w:t>services.</w:t>
            </w:r>
          </w:p>
          <w:p w14:paraId="269DF9AC" w14:textId="77777777" w:rsidR="00C23B76" w:rsidRDefault="00D65794">
            <w:pPr>
              <w:pStyle w:val="TableParagraph"/>
              <w:numPr>
                <w:ilvl w:val="0"/>
                <w:numId w:val="22"/>
              </w:numPr>
              <w:tabs>
                <w:tab w:val="left" w:pos="467"/>
                <w:tab w:val="left" w:pos="468"/>
              </w:tabs>
              <w:spacing w:line="203" w:lineRule="exact"/>
              <w:ind w:hanging="361"/>
              <w:rPr>
                <w:rFonts w:ascii="Calibri" w:hAnsi="Calibri"/>
                <w:sz w:val="16"/>
              </w:rPr>
            </w:pPr>
            <w:r>
              <w:rPr>
                <w:rFonts w:ascii="Calibri" w:hAnsi="Calibri"/>
                <w:sz w:val="16"/>
              </w:rPr>
              <w:t>Cost of training, workshops, and</w:t>
            </w:r>
            <w:r>
              <w:rPr>
                <w:rFonts w:ascii="Calibri" w:hAnsi="Calibri"/>
                <w:spacing w:val="-5"/>
                <w:sz w:val="16"/>
              </w:rPr>
              <w:t xml:space="preserve"> </w:t>
            </w:r>
            <w:r>
              <w:rPr>
                <w:rFonts w:ascii="Calibri" w:hAnsi="Calibri"/>
                <w:sz w:val="16"/>
              </w:rPr>
              <w:t>events.</w:t>
            </w:r>
          </w:p>
          <w:p w14:paraId="269DF9AD" w14:textId="77777777" w:rsidR="00C23B76" w:rsidRDefault="00D65794">
            <w:pPr>
              <w:pStyle w:val="TableParagraph"/>
              <w:numPr>
                <w:ilvl w:val="0"/>
                <w:numId w:val="22"/>
              </w:numPr>
              <w:tabs>
                <w:tab w:val="left" w:pos="467"/>
                <w:tab w:val="left" w:pos="468"/>
              </w:tabs>
              <w:ind w:right="814"/>
              <w:rPr>
                <w:rFonts w:ascii="Calibri" w:hAnsi="Calibri"/>
                <w:sz w:val="16"/>
              </w:rPr>
            </w:pPr>
            <w:r>
              <w:rPr>
                <w:rFonts w:ascii="Calibri" w:hAnsi="Calibri"/>
                <w:sz w:val="16"/>
              </w:rPr>
              <w:t>Cost of project-related communication material and publications (production and</w:t>
            </w:r>
            <w:r>
              <w:rPr>
                <w:rFonts w:ascii="Calibri" w:hAnsi="Calibri"/>
                <w:spacing w:val="-5"/>
                <w:sz w:val="16"/>
              </w:rPr>
              <w:t xml:space="preserve"> </w:t>
            </w:r>
            <w:r>
              <w:rPr>
                <w:rFonts w:ascii="Calibri" w:hAnsi="Calibri"/>
                <w:sz w:val="16"/>
              </w:rPr>
              <w:t>printing).</w:t>
            </w:r>
          </w:p>
          <w:p w14:paraId="269DF9AE" w14:textId="77777777" w:rsidR="00C23B76" w:rsidRDefault="00D65794">
            <w:pPr>
              <w:pStyle w:val="TableParagraph"/>
              <w:numPr>
                <w:ilvl w:val="0"/>
                <w:numId w:val="22"/>
              </w:numPr>
              <w:tabs>
                <w:tab w:val="left" w:pos="467"/>
                <w:tab w:val="left" w:pos="468"/>
              </w:tabs>
              <w:spacing w:before="1"/>
              <w:ind w:hanging="361"/>
              <w:rPr>
                <w:rFonts w:ascii="Calibri" w:hAnsi="Calibri"/>
                <w:sz w:val="16"/>
              </w:rPr>
            </w:pPr>
            <w:r>
              <w:rPr>
                <w:rFonts w:ascii="Calibri" w:hAnsi="Calibri"/>
                <w:sz w:val="16"/>
              </w:rPr>
              <w:t>Cost of Grants (Low-Value</w:t>
            </w:r>
            <w:r>
              <w:rPr>
                <w:rFonts w:ascii="Calibri" w:hAnsi="Calibri"/>
                <w:spacing w:val="-5"/>
                <w:sz w:val="16"/>
              </w:rPr>
              <w:t xml:space="preserve"> </w:t>
            </w:r>
            <w:r>
              <w:rPr>
                <w:rFonts w:ascii="Calibri" w:hAnsi="Calibri"/>
                <w:sz w:val="16"/>
              </w:rPr>
              <w:t>Grants)</w:t>
            </w:r>
          </w:p>
          <w:p w14:paraId="269DF9AF" w14:textId="77777777" w:rsidR="00C23B76" w:rsidRDefault="00D65794">
            <w:pPr>
              <w:pStyle w:val="TableParagraph"/>
              <w:numPr>
                <w:ilvl w:val="0"/>
                <w:numId w:val="22"/>
              </w:numPr>
              <w:tabs>
                <w:tab w:val="left" w:pos="467"/>
                <w:tab w:val="left" w:pos="468"/>
              </w:tabs>
              <w:ind w:hanging="361"/>
              <w:rPr>
                <w:rFonts w:ascii="Calibri" w:hAnsi="Calibri"/>
                <w:sz w:val="16"/>
              </w:rPr>
            </w:pPr>
            <w:r>
              <w:rPr>
                <w:rFonts w:ascii="Calibri" w:hAnsi="Calibri"/>
                <w:sz w:val="16"/>
              </w:rPr>
              <w:t>Cost of project equipment, furniture, and other</w:t>
            </w:r>
            <w:r>
              <w:rPr>
                <w:rFonts w:ascii="Calibri" w:hAnsi="Calibri"/>
                <w:spacing w:val="-14"/>
                <w:sz w:val="16"/>
              </w:rPr>
              <w:t xml:space="preserve"> </w:t>
            </w:r>
            <w:r>
              <w:rPr>
                <w:rFonts w:ascii="Calibri" w:hAnsi="Calibri"/>
                <w:sz w:val="16"/>
              </w:rPr>
              <w:t>supplies.</w:t>
            </w:r>
          </w:p>
          <w:p w14:paraId="269DF9B0" w14:textId="77777777" w:rsidR="00C23B76" w:rsidRDefault="00D65794">
            <w:pPr>
              <w:pStyle w:val="TableParagraph"/>
              <w:numPr>
                <w:ilvl w:val="0"/>
                <w:numId w:val="22"/>
              </w:numPr>
              <w:tabs>
                <w:tab w:val="left" w:pos="467"/>
                <w:tab w:val="left" w:pos="468"/>
              </w:tabs>
              <w:ind w:right="385"/>
              <w:rPr>
                <w:rFonts w:ascii="Calibri" w:hAnsi="Calibri"/>
                <w:sz w:val="16"/>
              </w:rPr>
            </w:pPr>
            <w:r>
              <w:rPr>
                <w:rFonts w:ascii="Calibri" w:hAnsi="Calibri"/>
                <w:sz w:val="16"/>
              </w:rPr>
              <w:t>Cost of transportation equipment (vehicles) if approved by GEF.</w:t>
            </w:r>
          </w:p>
          <w:p w14:paraId="269DF9B1" w14:textId="77777777" w:rsidR="00C23B76" w:rsidRDefault="00D65794">
            <w:pPr>
              <w:pStyle w:val="TableParagraph"/>
              <w:numPr>
                <w:ilvl w:val="0"/>
                <w:numId w:val="22"/>
              </w:numPr>
              <w:tabs>
                <w:tab w:val="left" w:pos="467"/>
                <w:tab w:val="left" w:pos="468"/>
              </w:tabs>
              <w:spacing w:line="203" w:lineRule="exact"/>
              <w:ind w:hanging="361"/>
              <w:rPr>
                <w:rFonts w:ascii="Calibri" w:hAnsi="Calibri"/>
                <w:sz w:val="16"/>
              </w:rPr>
            </w:pPr>
            <w:r>
              <w:rPr>
                <w:rFonts w:ascii="Calibri" w:hAnsi="Calibri"/>
                <w:sz w:val="16"/>
              </w:rPr>
              <w:t>Cost of project-level independent</w:t>
            </w:r>
            <w:r>
              <w:rPr>
                <w:rFonts w:ascii="Calibri" w:hAnsi="Calibri"/>
                <w:spacing w:val="-5"/>
                <w:sz w:val="16"/>
              </w:rPr>
              <w:t xml:space="preserve"> </w:t>
            </w:r>
            <w:r>
              <w:rPr>
                <w:rFonts w:ascii="Calibri" w:hAnsi="Calibri"/>
                <w:sz w:val="16"/>
              </w:rPr>
              <w:t>evaluations.</w:t>
            </w:r>
          </w:p>
          <w:p w14:paraId="269DF9B2" w14:textId="77777777" w:rsidR="00C23B76" w:rsidRDefault="00D65794">
            <w:pPr>
              <w:pStyle w:val="TableParagraph"/>
              <w:numPr>
                <w:ilvl w:val="0"/>
                <w:numId w:val="22"/>
              </w:numPr>
              <w:tabs>
                <w:tab w:val="left" w:pos="467"/>
                <w:tab w:val="left" w:pos="468"/>
              </w:tabs>
              <w:ind w:right="468"/>
              <w:rPr>
                <w:rFonts w:ascii="Calibri" w:hAnsi="Calibri"/>
                <w:sz w:val="16"/>
              </w:rPr>
            </w:pPr>
            <w:r>
              <w:rPr>
                <w:rFonts w:ascii="Calibri" w:hAnsi="Calibri"/>
                <w:sz w:val="16"/>
              </w:rPr>
              <w:t>Cost of HACT Assessments and HACT Spot checks by</w:t>
            </w:r>
            <w:r>
              <w:rPr>
                <w:rFonts w:ascii="Calibri" w:hAnsi="Calibri"/>
                <w:spacing w:val="-23"/>
                <w:sz w:val="16"/>
              </w:rPr>
              <w:t xml:space="preserve"> </w:t>
            </w:r>
            <w:r>
              <w:rPr>
                <w:rFonts w:ascii="Calibri" w:hAnsi="Calibri"/>
                <w:sz w:val="16"/>
              </w:rPr>
              <w:t>third parties.</w:t>
            </w:r>
          </w:p>
          <w:p w14:paraId="269DF9B3" w14:textId="77777777" w:rsidR="00C23B76" w:rsidRDefault="00D65794">
            <w:pPr>
              <w:pStyle w:val="TableParagraph"/>
              <w:numPr>
                <w:ilvl w:val="0"/>
                <w:numId w:val="22"/>
              </w:numPr>
              <w:tabs>
                <w:tab w:val="left" w:pos="467"/>
                <w:tab w:val="left" w:pos="468"/>
              </w:tabs>
              <w:spacing w:line="203" w:lineRule="exact"/>
              <w:ind w:hanging="361"/>
              <w:rPr>
                <w:rFonts w:ascii="Calibri" w:hAnsi="Calibri"/>
                <w:sz w:val="16"/>
              </w:rPr>
            </w:pPr>
            <w:r>
              <w:rPr>
                <w:rFonts w:ascii="Calibri" w:hAnsi="Calibri"/>
                <w:sz w:val="16"/>
              </w:rPr>
              <w:t>Cost of security services for project personnel or</w:t>
            </w:r>
            <w:r>
              <w:rPr>
                <w:rFonts w:ascii="Calibri" w:hAnsi="Calibri"/>
                <w:spacing w:val="-20"/>
                <w:sz w:val="16"/>
              </w:rPr>
              <w:t xml:space="preserve"> </w:t>
            </w:r>
            <w:r>
              <w:rPr>
                <w:rFonts w:ascii="Calibri" w:hAnsi="Calibri"/>
                <w:sz w:val="16"/>
              </w:rPr>
              <w:t>consultants.</w:t>
            </w:r>
          </w:p>
          <w:p w14:paraId="269DF9B4" w14:textId="77777777" w:rsidR="00C23B76" w:rsidRDefault="00D65794">
            <w:pPr>
              <w:pStyle w:val="TableParagraph"/>
              <w:numPr>
                <w:ilvl w:val="0"/>
                <w:numId w:val="22"/>
              </w:numPr>
              <w:tabs>
                <w:tab w:val="left" w:pos="467"/>
                <w:tab w:val="left" w:pos="468"/>
              </w:tabs>
              <w:ind w:right="167"/>
              <w:rPr>
                <w:rFonts w:ascii="Calibri" w:hAnsi="Calibri"/>
                <w:sz w:val="16"/>
              </w:rPr>
            </w:pPr>
            <w:r>
              <w:rPr>
                <w:rFonts w:ascii="Calibri" w:hAnsi="Calibri"/>
                <w:sz w:val="16"/>
              </w:rPr>
              <w:t>Rent of office premises and common services cost if approved by</w:t>
            </w:r>
            <w:r>
              <w:rPr>
                <w:rFonts w:ascii="Calibri" w:hAnsi="Calibri"/>
                <w:spacing w:val="-2"/>
                <w:sz w:val="16"/>
              </w:rPr>
              <w:t xml:space="preserve"> </w:t>
            </w:r>
            <w:r>
              <w:rPr>
                <w:rFonts w:ascii="Calibri" w:hAnsi="Calibri"/>
                <w:sz w:val="16"/>
              </w:rPr>
              <w:t>GEF.</w:t>
            </w:r>
          </w:p>
          <w:p w14:paraId="269DF9B5" w14:textId="77777777" w:rsidR="00C23B76" w:rsidRDefault="00D65794">
            <w:pPr>
              <w:pStyle w:val="TableParagraph"/>
              <w:numPr>
                <w:ilvl w:val="0"/>
                <w:numId w:val="22"/>
              </w:numPr>
              <w:tabs>
                <w:tab w:val="left" w:pos="467"/>
                <w:tab w:val="left" w:pos="468"/>
              </w:tabs>
              <w:ind w:right="801"/>
              <w:rPr>
                <w:rFonts w:ascii="Calibri" w:hAnsi="Calibri"/>
                <w:sz w:val="16"/>
              </w:rPr>
            </w:pPr>
            <w:r>
              <w:rPr>
                <w:rFonts w:ascii="Calibri" w:hAnsi="Calibri"/>
                <w:sz w:val="16"/>
              </w:rPr>
              <w:t>Cost of preparation of procurement plans by Project Management Unit</w:t>
            </w:r>
            <w:r>
              <w:rPr>
                <w:rFonts w:ascii="Calibri" w:hAnsi="Calibri"/>
                <w:spacing w:val="-4"/>
                <w:sz w:val="16"/>
              </w:rPr>
              <w:t xml:space="preserve"> </w:t>
            </w:r>
            <w:r>
              <w:rPr>
                <w:rFonts w:ascii="Calibri" w:hAnsi="Calibri"/>
                <w:sz w:val="16"/>
              </w:rPr>
              <w:t>(PMU).</w:t>
            </w:r>
          </w:p>
          <w:p w14:paraId="269DF9B6" w14:textId="77777777" w:rsidR="00C23B76" w:rsidRDefault="00D65794">
            <w:pPr>
              <w:pStyle w:val="TableParagraph"/>
              <w:numPr>
                <w:ilvl w:val="0"/>
                <w:numId w:val="22"/>
              </w:numPr>
              <w:tabs>
                <w:tab w:val="left" w:pos="467"/>
                <w:tab w:val="left" w:pos="468"/>
              </w:tabs>
              <w:spacing w:before="2"/>
              <w:ind w:hanging="361"/>
              <w:rPr>
                <w:rFonts w:ascii="Calibri" w:hAnsi="Calibri"/>
                <w:sz w:val="16"/>
              </w:rPr>
            </w:pPr>
            <w:r>
              <w:rPr>
                <w:rFonts w:ascii="Calibri" w:hAnsi="Calibri"/>
                <w:sz w:val="16"/>
              </w:rPr>
              <w:t>Cost of procurement processes performed by</w:t>
            </w:r>
            <w:r>
              <w:rPr>
                <w:rFonts w:ascii="Calibri" w:hAnsi="Calibri"/>
                <w:spacing w:val="-11"/>
                <w:sz w:val="16"/>
              </w:rPr>
              <w:t xml:space="preserve"> </w:t>
            </w:r>
            <w:r>
              <w:rPr>
                <w:rFonts w:ascii="Calibri" w:hAnsi="Calibri"/>
                <w:sz w:val="16"/>
              </w:rPr>
              <w:t>PMU.</w:t>
            </w:r>
          </w:p>
          <w:p w14:paraId="269DF9B7" w14:textId="77777777" w:rsidR="00C23B76" w:rsidRDefault="00D65794">
            <w:pPr>
              <w:pStyle w:val="TableParagraph"/>
              <w:numPr>
                <w:ilvl w:val="0"/>
                <w:numId w:val="22"/>
              </w:numPr>
              <w:tabs>
                <w:tab w:val="left" w:pos="467"/>
                <w:tab w:val="left" w:pos="468"/>
              </w:tabs>
              <w:ind w:hanging="361"/>
              <w:rPr>
                <w:rFonts w:ascii="Calibri" w:hAnsi="Calibri"/>
                <w:sz w:val="16"/>
              </w:rPr>
            </w:pPr>
            <w:r>
              <w:rPr>
                <w:rFonts w:ascii="Calibri" w:hAnsi="Calibri"/>
                <w:sz w:val="16"/>
              </w:rPr>
              <w:t>Cost of management of consultant activities by</w:t>
            </w:r>
            <w:r>
              <w:rPr>
                <w:rFonts w:ascii="Calibri" w:hAnsi="Calibri"/>
                <w:spacing w:val="-21"/>
                <w:sz w:val="16"/>
              </w:rPr>
              <w:t xml:space="preserve"> </w:t>
            </w:r>
            <w:r>
              <w:rPr>
                <w:rFonts w:ascii="Calibri" w:hAnsi="Calibri"/>
                <w:sz w:val="16"/>
              </w:rPr>
              <w:t>PMU.</w:t>
            </w:r>
          </w:p>
          <w:p w14:paraId="269DF9B8" w14:textId="77777777" w:rsidR="00C23B76" w:rsidRDefault="00D65794">
            <w:pPr>
              <w:pStyle w:val="TableParagraph"/>
              <w:numPr>
                <w:ilvl w:val="0"/>
                <w:numId w:val="22"/>
              </w:numPr>
              <w:tabs>
                <w:tab w:val="left" w:pos="467"/>
                <w:tab w:val="left" w:pos="468"/>
              </w:tabs>
              <w:ind w:hanging="361"/>
              <w:rPr>
                <w:rFonts w:ascii="Calibri" w:hAnsi="Calibri"/>
                <w:sz w:val="16"/>
              </w:rPr>
            </w:pPr>
            <w:r>
              <w:rPr>
                <w:rFonts w:ascii="Calibri" w:hAnsi="Calibri"/>
                <w:sz w:val="16"/>
              </w:rPr>
              <w:t>Cost of management of output deliverables by</w:t>
            </w:r>
            <w:r>
              <w:rPr>
                <w:rFonts w:ascii="Calibri" w:hAnsi="Calibri"/>
                <w:spacing w:val="-19"/>
                <w:sz w:val="16"/>
              </w:rPr>
              <w:t xml:space="preserve"> </w:t>
            </w:r>
            <w:r>
              <w:rPr>
                <w:rFonts w:ascii="Calibri" w:hAnsi="Calibri"/>
                <w:sz w:val="16"/>
              </w:rPr>
              <w:t>PMU.</w:t>
            </w:r>
          </w:p>
          <w:p w14:paraId="269DF9B9" w14:textId="77777777" w:rsidR="00C23B76" w:rsidRDefault="00D65794">
            <w:pPr>
              <w:pStyle w:val="TableParagraph"/>
              <w:numPr>
                <w:ilvl w:val="0"/>
                <w:numId w:val="22"/>
              </w:numPr>
              <w:tabs>
                <w:tab w:val="left" w:pos="467"/>
                <w:tab w:val="left" w:pos="468"/>
              </w:tabs>
              <w:ind w:right="789"/>
              <w:rPr>
                <w:rFonts w:ascii="Calibri" w:hAnsi="Calibri"/>
                <w:sz w:val="16"/>
              </w:rPr>
            </w:pPr>
            <w:r>
              <w:rPr>
                <w:rFonts w:ascii="Calibri" w:hAnsi="Calibri"/>
                <w:sz w:val="16"/>
              </w:rPr>
              <w:t>Cost of maintenance of records of all project-related documentation by</w:t>
            </w:r>
            <w:r>
              <w:rPr>
                <w:rFonts w:ascii="Calibri" w:hAnsi="Calibri"/>
                <w:spacing w:val="-4"/>
                <w:sz w:val="16"/>
              </w:rPr>
              <w:t xml:space="preserve"> </w:t>
            </w:r>
            <w:r>
              <w:rPr>
                <w:rFonts w:ascii="Calibri" w:hAnsi="Calibri"/>
                <w:sz w:val="16"/>
              </w:rPr>
              <w:t>PMU.</w:t>
            </w:r>
          </w:p>
          <w:p w14:paraId="269DF9BA" w14:textId="77777777" w:rsidR="00C23B76" w:rsidRDefault="00D65794">
            <w:pPr>
              <w:pStyle w:val="TableParagraph"/>
              <w:numPr>
                <w:ilvl w:val="0"/>
                <w:numId w:val="22"/>
              </w:numPr>
              <w:tabs>
                <w:tab w:val="left" w:pos="467"/>
                <w:tab w:val="left" w:pos="468"/>
              </w:tabs>
              <w:ind w:right="283"/>
              <w:rPr>
                <w:rFonts w:ascii="Calibri" w:hAnsi="Calibri"/>
                <w:sz w:val="16"/>
              </w:rPr>
            </w:pPr>
            <w:r>
              <w:rPr>
                <w:rFonts w:ascii="Calibri" w:hAnsi="Calibri"/>
                <w:sz w:val="16"/>
              </w:rPr>
              <w:t>Cost of preparation of progress reports and financial</w:t>
            </w:r>
            <w:r>
              <w:rPr>
                <w:rFonts w:ascii="Calibri" w:hAnsi="Calibri"/>
                <w:spacing w:val="-24"/>
                <w:sz w:val="16"/>
              </w:rPr>
              <w:t xml:space="preserve"> </w:t>
            </w:r>
            <w:r>
              <w:rPr>
                <w:rFonts w:ascii="Calibri" w:hAnsi="Calibri"/>
                <w:sz w:val="16"/>
              </w:rPr>
              <w:t>reports for the projects by</w:t>
            </w:r>
            <w:r>
              <w:rPr>
                <w:rFonts w:ascii="Calibri" w:hAnsi="Calibri"/>
                <w:spacing w:val="-7"/>
                <w:sz w:val="16"/>
              </w:rPr>
              <w:t xml:space="preserve"> </w:t>
            </w:r>
            <w:r>
              <w:rPr>
                <w:rFonts w:ascii="Calibri" w:hAnsi="Calibri"/>
                <w:sz w:val="16"/>
              </w:rPr>
              <w:t>PMU.</w:t>
            </w:r>
          </w:p>
          <w:p w14:paraId="269DF9BB" w14:textId="77777777" w:rsidR="00C23B76" w:rsidRDefault="00D65794">
            <w:pPr>
              <w:pStyle w:val="TableParagraph"/>
              <w:numPr>
                <w:ilvl w:val="0"/>
                <w:numId w:val="22"/>
              </w:numPr>
              <w:tabs>
                <w:tab w:val="left" w:pos="467"/>
                <w:tab w:val="left" w:pos="468"/>
              </w:tabs>
              <w:spacing w:line="203" w:lineRule="exact"/>
              <w:ind w:hanging="361"/>
              <w:rPr>
                <w:rFonts w:ascii="Calibri" w:hAnsi="Calibri"/>
                <w:sz w:val="16"/>
              </w:rPr>
            </w:pPr>
            <w:r>
              <w:rPr>
                <w:rFonts w:ascii="Calibri" w:hAnsi="Calibri"/>
                <w:sz w:val="16"/>
              </w:rPr>
              <w:t>Cost of projects teams’ consultation with</w:t>
            </w:r>
            <w:r>
              <w:rPr>
                <w:rFonts w:ascii="Calibri" w:hAnsi="Calibri"/>
                <w:spacing w:val="-11"/>
                <w:sz w:val="16"/>
              </w:rPr>
              <w:t xml:space="preserve"> </w:t>
            </w:r>
            <w:r>
              <w:rPr>
                <w:rFonts w:ascii="Calibri" w:hAnsi="Calibri"/>
                <w:sz w:val="16"/>
              </w:rPr>
              <w:t>stakeholders.</w:t>
            </w:r>
          </w:p>
          <w:p w14:paraId="269DF9BC" w14:textId="77777777" w:rsidR="00C23B76" w:rsidRDefault="00D65794">
            <w:pPr>
              <w:pStyle w:val="TableParagraph"/>
              <w:numPr>
                <w:ilvl w:val="0"/>
                <w:numId w:val="22"/>
              </w:numPr>
              <w:tabs>
                <w:tab w:val="left" w:pos="467"/>
                <w:tab w:val="left" w:pos="468"/>
              </w:tabs>
              <w:ind w:hanging="361"/>
              <w:rPr>
                <w:rFonts w:ascii="Calibri" w:hAnsi="Calibri"/>
                <w:sz w:val="16"/>
              </w:rPr>
            </w:pPr>
            <w:r>
              <w:rPr>
                <w:rFonts w:ascii="Calibri" w:hAnsi="Calibri"/>
                <w:sz w:val="16"/>
              </w:rPr>
              <w:t>Cost of project financial</w:t>
            </w:r>
            <w:r>
              <w:rPr>
                <w:rFonts w:ascii="Calibri" w:hAnsi="Calibri"/>
                <w:spacing w:val="-7"/>
                <w:sz w:val="16"/>
              </w:rPr>
              <w:t xml:space="preserve"> </w:t>
            </w:r>
            <w:r>
              <w:rPr>
                <w:rFonts w:ascii="Calibri" w:hAnsi="Calibri"/>
                <w:sz w:val="16"/>
              </w:rPr>
              <w:t>auditing.</w:t>
            </w:r>
          </w:p>
          <w:p w14:paraId="269DF9BD" w14:textId="77777777" w:rsidR="00C23B76" w:rsidRDefault="00C23B76">
            <w:pPr>
              <w:pStyle w:val="TableParagraph"/>
              <w:ind w:left="0"/>
              <w:rPr>
                <w:rFonts w:ascii="Calibri"/>
                <w:i/>
                <w:sz w:val="20"/>
              </w:rPr>
            </w:pPr>
          </w:p>
          <w:p w14:paraId="269DF9BE" w14:textId="77777777" w:rsidR="00C23B76" w:rsidRDefault="00C23B76">
            <w:pPr>
              <w:pStyle w:val="TableParagraph"/>
              <w:spacing w:before="10"/>
              <w:ind w:left="0"/>
              <w:rPr>
                <w:rFonts w:ascii="Calibri"/>
                <w:i/>
                <w:sz w:val="18"/>
              </w:rPr>
            </w:pPr>
          </w:p>
          <w:p w14:paraId="269DF9BF" w14:textId="77777777" w:rsidR="00C23B76" w:rsidRDefault="00D65794">
            <w:pPr>
              <w:pStyle w:val="TableParagraph"/>
              <w:numPr>
                <w:ilvl w:val="0"/>
                <w:numId w:val="21"/>
              </w:numPr>
              <w:tabs>
                <w:tab w:val="left" w:pos="370"/>
              </w:tabs>
              <w:ind w:right="95" w:firstLine="0"/>
              <w:jc w:val="both"/>
              <w:rPr>
                <w:rFonts w:ascii="Calibri"/>
                <w:b/>
                <w:sz w:val="16"/>
              </w:rPr>
            </w:pPr>
            <w:r>
              <w:rPr>
                <w:rFonts w:ascii="Calibri"/>
                <w:b/>
                <w:sz w:val="16"/>
              </w:rPr>
              <w:t>From July 2020, all GEF 7 projects submitted to the GEF for PIF approval and/or CEO endorsements/approvals, UNDP Support Services must follow the due process outlined in the new GEF guidance on handling Government/Implementing Partner requests to a GEF agency for the provision of Support</w:t>
            </w:r>
            <w:r>
              <w:rPr>
                <w:rFonts w:ascii="Calibri"/>
                <w:b/>
                <w:spacing w:val="-10"/>
                <w:sz w:val="16"/>
              </w:rPr>
              <w:t xml:space="preserve"> </w:t>
            </w:r>
            <w:r>
              <w:rPr>
                <w:rFonts w:ascii="Calibri"/>
                <w:b/>
                <w:sz w:val="16"/>
              </w:rPr>
              <w:t>Services.</w:t>
            </w:r>
          </w:p>
          <w:p w14:paraId="269DF9C0" w14:textId="77777777" w:rsidR="00C23B76" w:rsidRDefault="00C23B76">
            <w:pPr>
              <w:pStyle w:val="TableParagraph"/>
              <w:spacing w:before="9"/>
              <w:ind w:left="0"/>
              <w:rPr>
                <w:rFonts w:ascii="Calibri"/>
                <w:i/>
              </w:rPr>
            </w:pPr>
          </w:p>
          <w:p w14:paraId="269DF9C1" w14:textId="79BD72D9" w:rsidR="00C23B76" w:rsidRDefault="00D65794">
            <w:pPr>
              <w:pStyle w:val="TableParagraph"/>
              <w:ind w:right="97"/>
              <w:jc w:val="both"/>
              <w:rPr>
                <w:sz w:val="24"/>
              </w:rPr>
            </w:pPr>
            <w:r>
              <w:rPr>
                <w:rFonts w:ascii="Calibri" w:hAnsi="Calibri"/>
                <w:sz w:val="16"/>
              </w:rPr>
              <w:t xml:space="preserve">For details, see </w:t>
            </w:r>
            <w:hyperlink r:id="rId22" w:history="1">
              <w:r w:rsidRPr="00DE15A1">
                <w:rPr>
                  <w:rStyle w:val="Hyperlink"/>
                  <w:rFonts w:asciiTheme="minorHAnsi" w:hAnsiTheme="minorHAnsi" w:cstheme="minorHAnsi"/>
                  <w:sz w:val="16"/>
                  <w:szCs w:val="16"/>
                </w:rPr>
                <w:t>Annex 1 – GEF Conditions for UNDP Support Services (11 August 2020)</w:t>
              </w:r>
            </w:hyperlink>
          </w:p>
          <w:p w14:paraId="269DF9C2" w14:textId="77777777" w:rsidR="00C23B76" w:rsidRDefault="00C23B76">
            <w:pPr>
              <w:pStyle w:val="TableParagraph"/>
              <w:spacing w:before="2"/>
              <w:ind w:left="0"/>
              <w:rPr>
                <w:rFonts w:ascii="Calibri"/>
                <w:i/>
                <w:sz w:val="23"/>
              </w:rPr>
            </w:pPr>
          </w:p>
          <w:p w14:paraId="269DF9C3" w14:textId="77777777" w:rsidR="00C23B76" w:rsidRDefault="00D65794">
            <w:pPr>
              <w:pStyle w:val="TableParagraph"/>
              <w:numPr>
                <w:ilvl w:val="0"/>
                <w:numId w:val="21"/>
              </w:numPr>
              <w:tabs>
                <w:tab w:val="left" w:pos="317"/>
              </w:tabs>
              <w:ind w:left="316" w:hanging="210"/>
              <w:jc w:val="both"/>
              <w:rPr>
                <w:rFonts w:ascii="Calibri"/>
                <w:b/>
                <w:sz w:val="16"/>
              </w:rPr>
            </w:pPr>
            <w:r>
              <w:rPr>
                <w:rFonts w:ascii="Calibri"/>
                <w:b/>
                <w:sz w:val="16"/>
              </w:rPr>
              <w:t>Exceptions if approved by</w:t>
            </w:r>
            <w:r>
              <w:rPr>
                <w:rFonts w:ascii="Calibri"/>
                <w:b/>
                <w:spacing w:val="-2"/>
                <w:sz w:val="16"/>
              </w:rPr>
              <w:t xml:space="preserve"> </w:t>
            </w:r>
            <w:r>
              <w:rPr>
                <w:rFonts w:ascii="Calibri"/>
                <w:b/>
                <w:sz w:val="16"/>
              </w:rPr>
              <w:t>GEF:</w:t>
            </w:r>
          </w:p>
          <w:p w14:paraId="269DF9C4" w14:textId="77777777" w:rsidR="00C23B76" w:rsidRDefault="00C23B76">
            <w:pPr>
              <w:pStyle w:val="TableParagraph"/>
              <w:ind w:left="0"/>
              <w:rPr>
                <w:rFonts w:ascii="Calibri"/>
                <w:i/>
                <w:sz w:val="16"/>
              </w:rPr>
            </w:pPr>
          </w:p>
          <w:p w14:paraId="269DF9C5" w14:textId="77777777" w:rsidR="00C23B76" w:rsidRDefault="00D65794">
            <w:pPr>
              <w:pStyle w:val="TableParagraph"/>
              <w:ind w:right="94"/>
              <w:jc w:val="both"/>
              <w:rPr>
                <w:rFonts w:ascii="Calibri"/>
                <w:b/>
                <w:sz w:val="16"/>
              </w:rPr>
            </w:pPr>
            <w:r>
              <w:rPr>
                <w:rFonts w:ascii="Calibri"/>
                <w:b/>
                <w:sz w:val="16"/>
              </w:rPr>
              <w:t xml:space="preserve">Costs of UNDP transactional services when UNDP staff provide administrative support services to NIM/IGO/NGO projects. Note that </w:t>
            </w:r>
            <w:r>
              <w:rPr>
                <w:rFonts w:ascii="Calibri"/>
                <w:b/>
                <w:sz w:val="16"/>
                <w:u w:val="single"/>
              </w:rPr>
              <w:t>these costs must be pre-approved by GEF and cannot be</w:t>
            </w:r>
            <w:r>
              <w:rPr>
                <w:rFonts w:ascii="Calibri"/>
                <w:b/>
                <w:sz w:val="16"/>
              </w:rPr>
              <w:t xml:space="preserve"> </w:t>
            </w:r>
            <w:r>
              <w:rPr>
                <w:rFonts w:ascii="Calibri"/>
                <w:b/>
                <w:sz w:val="16"/>
                <w:u w:val="single"/>
              </w:rPr>
              <w:t>charged</w:t>
            </w:r>
            <w:r>
              <w:rPr>
                <w:rFonts w:ascii="Calibri"/>
                <w:b/>
                <w:spacing w:val="-10"/>
                <w:sz w:val="16"/>
                <w:u w:val="single"/>
              </w:rPr>
              <w:t xml:space="preserve"> </w:t>
            </w:r>
            <w:r>
              <w:rPr>
                <w:rFonts w:ascii="Calibri"/>
                <w:b/>
                <w:sz w:val="16"/>
                <w:u w:val="single"/>
              </w:rPr>
              <w:t>retroactively</w:t>
            </w:r>
            <w:r>
              <w:rPr>
                <w:rFonts w:ascii="Calibri"/>
                <w:b/>
                <w:spacing w:val="-9"/>
                <w:sz w:val="16"/>
                <w:u w:val="single"/>
              </w:rPr>
              <w:t xml:space="preserve"> </w:t>
            </w:r>
            <w:r>
              <w:rPr>
                <w:rFonts w:ascii="Calibri"/>
                <w:b/>
                <w:sz w:val="16"/>
                <w:u w:val="single"/>
              </w:rPr>
              <w:t>to</w:t>
            </w:r>
            <w:r>
              <w:rPr>
                <w:rFonts w:ascii="Calibri"/>
                <w:b/>
                <w:spacing w:val="-9"/>
                <w:sz w:val="16"/>
                <w:u w:val="single"/>
              </w:rPr>
              <w:t xml:space="preserve"> </w:t>
            </w:r>
            <w:r>
              <w:rPr>
                <w:rFonts w:ascii="Calibri"/>
                <w:b/>
                <w:sz w:val="16"/>
                <w:u w:val="single"/>
              </w:rPr>
              <w:t>the</w:t>
            </w:r>
            <w:r>
              <w:rPr>
                <w:rFonts w:ascii="Calibri"/>
                <w:b/>
                <w:spacing w:val="-9"/>
                <w:sz w:val="16"/>
                <w:u w:val="single"/>
              </w:rPr>
              <w:t xml:space="preserve"> </w:t>
            </w:r>
            <w:r>
              <w:rPr>
                <w:rFonts w:ascii="Calibri"/>
                <w:b/>
                <w:sz w:val="16"/>
                <w:u w:val="single"/>
              </w:rPr>
              <w:t>project</w:t>
            </w:r>
            <w:r>
              <w:rPr>
                <w:rFonts w:ascii="Calibri"/>
                <w:b/>
                <w:spacing w:val="-10"/>
                <w:sz w:val="16"/>
                <w:u w:val="single"/>
              </w:rPr>
              <w:t xml:space="preserve"> </w:t>
            </w:r>
            <w:r>
              <w:rPr>
                <w:rFonts w:ascii="Calibri"/>
                <w:b/>
                <w:sz w:val="16"/>
                <w:u w:val="single"/>
              </w:rPr>
              <w:t>budget</w:t>
            </w:r>
            <w:r>
              <w:rPr>
                <w:rFonts w:ascii="Calibri"/>
                <w:b/>
                <w:sz w:val="16"/>
              </w:rPr>
              <w:t>.</w:t>
            </w:r>
            <w:r>
              <w:rPr>
                <w:rFonts w:ascii="Calibri"/>
                <w:b/>
                <w:spacing w:val="-9"/>
                <w:sz w:val="16"/>
              </w:rPr>
              <w:t xml:space="preserve"> </w:t>
            </w:r>
            <w:r>
              <w:rPr>
                <w:rFonts w:ascii="Calibri"/>
                <w:b/>
                <w:sz w:val="16"/>
              </w:rPr>
              <w:t>The</w:t>
            </w:r>
            <w:r>
              <w:rPr>
                <w:rFonts w:ascii="Calibri"/>
                <w:b/>
                <w:spacing w:val="-9"/>
                <w:sz w:val="16"/>
              </w:rPr>
              <w:t xml:space="preserve"> </w:t>
            </w:r>
            <w:r>
              <w:rPr>
                <w:rFonts w:ascii="Calibri"/>
                <w:b/>
                <w:sz w:val="16"/>
              </w:rPr>
              <w:t>list</w:t>
            </w:r>
            <w:r>
              <w:rPr>
                <w:rFonts w:ascii="Calibri"/>
                <w:b/>
                <w:spacing w:val="-10"/>
                <w:sz w:val="16"/>
              </w:rPr>
              <w:t xml:space="preserve"> </w:t>
            </w:r>
            <w:r>
              <w:rPr>
                <w:rFonts w:ascii="Calibri"/>
                <w:b/>
                <w:sz w:val="16"/>
              </w:rPr>
              <w:t>of</w:t>
            </w:r>
            <w:r>
              <w:rPr>
                <w:rFonts w:ascii="Calibri"/>
                <w:b/>
                <w:spacing w:val="-9"/>
                <w:sz w:val="16"/>
              </w:rPr>
              <w:t xml:space="preserve"> </w:t>
            </w:r>
            <w:r>
              <w:rPr>
                <w:rFonts w:ascii="Calibri"/>
                <w:b/>
                <w:sz w:val="16"/>
              </w:rPr>
              <w:t>services</w:t>
            </w:r>
            <w:r>
              <w:rPr>
                <w:rFonts w:ascii="Calibri"/>
                <w:b/>
                <w:spacing w:val="-9"/>
                <w:sz w:val="16"/>
              </w:rPr>
              <w:t xml:space="preserve"> </w:t>
            </w:r>
            <w:r>
              <w:rPr>
                <w:rFonts w:ascii="Calibri"/>
                <w:b/>
                <w:sz w:val="16"/>
              </w:rPr>
              <w:t>must be included in the TBWP of the UNDP-GEF Project</w:t>
            </w:r>
            <w:r>
              <w:rPr>
                <w:rFonts w:ascii="Calibri"/>
                <w:b/>
                <w:spacing w:val="18"/>
                <w:sz w:val="16"/>
              </w:rPr>
              <w:t xml:space="preserve"> </w:t>
            </w:r>
            <w:r>
              <w:rPr>
                <w:rFonts w:ascii="Calibri"/>
                <w:b/>
                <w:sz w:val="16"/>
              </w:rPr>
              <w:t>Document</w:t>
            </w:r>
          </w:p>
          <w:p w14:paraId="269DF9C6" w14:textId="77777777" w:rsidR="00C23B76" w:rsidRDefault="00D65794">
            <w:pPr>
              <w:pStyle w:val="TableParagraph"/>
              <w:spacing w:before="1" w:line="178" w:lineRule="exact"/>
              <w:jc w:val="both"/>
              <w:rPr>
                <w:rFonts w:ascii="Calibri"/>
                <w:b/>
                <w:sz w:val="16"/>
              </w:rPr>
            </w:pPr>
            <w:r>
              <w:rPr>
                <w:rFonts w:ascii="Calibri"/>
                <w:b/>
                <w:sz w:val="16"/>
              </w:rPr>
              <w:t>(financed by Global Environment Facility) at submission stage:</w:t>
            </w:r>
          </w:p>
        </w:tc>
        <w:tc>
          <w:tcPr>
            <w:tcW w:w="4676" w:type="dxa"/>
          </w:tcPr>
          <w:p w14:paraId="269DF9C7" w14:textId="77777777" w:rsidR="00C23B76" w:rsidRDefault="00D65794">
            <w:pPr>
              <w:pStyle w:val="TableParagraph"/>
              <w:spacing w:line="194" w:lineRule="exact"/>
              <w:ind w:left="106" w:right="99"/>
              <w:jc w:val="center"/>
              <w:rPr>
                <w:rFonts w:ascii="Calibri" w:hAnsi="Calibri"/>
                <w:b/>
                <w:sz w:val="16"/>
              </w:rPr>
            </w:pPr>
            <w:r>
              <w:rPr>
                <w:rFonts w:ascii="Calibri" w:hAnsi="Calibri"/>
                <w:b/>
                <w:color w:val="1F487C"/>
                <w:sz w:val="16"/>
              </w:rPr>
              <w:t>INDIRECT COSTS – GEF Agency Fee</w:t>
            </w:r>
          </w:p>
          <w:p w14:paraId="269DF9C8" w14:textId="77777777" w:rsidR="00C23B76" w:rsidRDefault="00C23B76">
            <w:pPr>
              <w:pStyle w:val="TableParagraph"/>
              <w:spacing w:before="10"/>
              <w:ind w:left="0"/>
              <w:rPr>
                <w:rFonts w:ascii="Calibri"/>
                <w:i/>
                <w:sz w:val="15"/>
              </w:rPr>
            </w:pPr>
          </w:p>
          <w:p w14:paraId="269DF9C9" w14:textId="77777777" w:rsidR="00C23B76" w:rsidRPr="00B96ED8" w:rsidRDefault="00D65794">
            <w:pPr>
              <w:pStyle w:val="TableParagraph"/>
              <w:spacing w:before="1"/>
              <w:ind w:right="99"/>
              <w:jc w:val="center"/>
              <w:rPr>
                <w:rFonts w:asciiTheme="minorHAnsi" w:hAnsiTheme="minorHAnsi" w:cstheme="minorHAnsi"/>
                <w:sz w:val="16"/>
              </w:rPr>
            </w:pPr>
            <w:r w:rsidRPr="00B96ED8">
              <w:rPr>
                <w:rFonts w:asciiTheme="minorHAnsi" w:hAnsiTheme="minorHAnsi" w:cstheme="minorHAnsi"/>
                <w:b/>
                <w:sz w:val="16"/>
              </w:rPr>
              <w:t>GEF requires UNDP to provide the following Oversight services (paid by GEF Agency Fee) at the project level and portfolio level</w:t>
            </w:r>
            <w:r w:rsidRPr="00B96ED8">
              <w:rPr>
                <w:rFonts w:asciiTheme="minorHAnsi" w:hAnsiTheme="minorHAnsi" w:cstheme="minorHAnsi"/>
                <w:sz w:val="16"/>
              </w:rPr>
              <w:t>:</w:t>
            </w:r>
          </w:p>
          <w:p w14:paraId="269DF9CA" w14:textId="77777777" w:rsidR="00C23B76" w:rsidRPr="00B96ED8" w:rsidRDefault="00C23B76">
            <w:pPr>
              <w:pStyle w:val="TableParagraph"/>
              <w:ind w:left="0"/>
              <w:rPr>
                <w:rFonts w:asciiTheme="minorHAnsi" w:hAnsiTheme="minorHAnsi" w:cstheme="minorHAnsi"/>
                <w:i/>
                <w:sz w:val="18"/>
              </w:rPr>
            </w:pPr>
          </w:p>
          <w:p w14:paraId="269DF9CC" w14:textId="77777777" w:rsidR="00C23B76" w:rsidRPr="00B96ED8" w:rsidRDefault="00D65794">
            <w:pPr>
              <w:pStyle w:val="TableParagraph"/>
              <w:rPr>
                <w:rFonts w:asciiTheme="minorHAnsi" w:hAnsiTheme="minorHAnsi" w:cstheme="minorHAnsi"/>
                <w:b/>
                <w:sz w:val="16"/>
              </w:rPr>
            </w:pPr>
            <w:r w:rsidRPr="00B96ED8">
              <w:rPr>
                <w:rFonts w:asciiTheme="minorHAnsi" w:hAnsiTheme="minorHAnsi" w:cstheme="minorHAnsi"/>
                <w:b/>
                <w:sz w:val="16"/>
              </w:rPr>
              <w:t>I. Project Cycle Management Services (project level)</w:t>
            </w:r>
          </w:p>
          <w:p w14:paraId="269DF9CE" w14:textId="77777777" w:rsidR="00C23B76" w:rsidRPr="00B96ED8" w:rsidRDefault="00C23B76">
            <w:pPr>
              <w:pStyle w:val="TableParagraph"/>
              <w:spacing w:before="8"/>
              <w:ind w:left="0"/>
              <w:rPr>
                <w:rFonts w:asciiTheme="minorHAnsi" w:hAnsiTheme="minorHAnsi" w:cstheme="minorHAnsi"/>
                <w:i/>
                <w:sz w:val="16"/>
              </w:rPr>
            </w:pPr>
          </w:p>
          <w:p w14:paraId="269DF9CF" w14:textId="77777777" w:rsidR="00C23B76" w:rsidRPr="00B96ED8" w:rsidRDefault="00D65794">
            <w:pPr>
              <w:pStyle w:val="TableParagraph"/>
              <w:rPr>
                <w:rFonts w:asciiTheme="minorHAnsi" w:hAnsiTheme="minorHAnsi" w:cstheme="minorHAnsi"/>
                <w:b/>
                <w:sz w:val="16"/>
              </w:rPr>
            </w:pPr>
            <w:r w:rsidRPr="00B96ED8">
              <w:rPr>
                <w:rFonts w:asciiTheme="minorHAnsi" w:hAnsiTheme="minorHAnsi" w:cstheme="minorHAnsi"/>
                <w:b/>
                <w:sz w:val="16"/>
              </w:rPr>
              <w:t>(a) Project identification</w:t>
            </w:r>
          </w:p>
          <w:p w14:paraId="269DF9D0" w14:textId="77777777" w:rsidR="00C23B76" w:rsidRPr="00B96ED8" w:rsidRDefault="00D65794">
            <w:pPr>
              <w:pStyle w:val="TableParagraph"/>
              <w:numPr>
                <w:ilvl w:val="0"/>
                <w:numId w:val="20"/>
              </w:numPr>
              <w:tabs>
                <w:tab w:val="left" w:pos="331"/>
              </w:tabs>
              <w:spacing w:before="116"/>
              <w:ind w:right="95" w:firstLine="0"/>
              <w:jc w:val="both"/>
              <w:rPr>
                <w:rFonts w:asciiTheme="minorHAnsi" w:hAnsiTheme="minorHAnsi" w:cstheme="minorHAnsi"/>
                <w:sz w:val="16"/>
              </w:rPr>
            </w:pPr>
            <w:r w:rsidRPr="00B96ED8">
              <w:rPr>
                <w:rFonts w:asciiTheme="minorHAnsi" w:hAnsiTheme="minorHAnsi" w:cstheme="minorHAnsi"/>
                <w:sz w:val="16"/>
              </w:rPr>
              <w:t>Consult with appropriate stakeholders in-country, including the GEF Operational Focal Point, identify opportunities for GEF financing, using country dialogue and other country planning/sector strategy documents as a</w:t>
            </w:r>
            <w:r w:rsidRPr="00B96ED8">
              <w:rPr>
                <w:rFonts w:asciiTheme="minorHAnsi" w:hAnsiTheme="minorHAnsi" w:cstheme="minorHAnsi"/>
                <w:spacing w:val="-10"/>
                <w:sz w:val="16"/>
              </w:rPr>
              <w:t xml:space="preserve"> </w:t>
            </w:r>
            <w:r w:rsidRPr="00B96ED8">
              <w:rPr>
                <w:rFonts w:asciiTheme="minorHAnsi" w:hAnsiTheme="minorHAnsi" w:cstheme="minorHAnsi"/>
                <w:sz w:val="16"/>
              </w:rPr>
              <w:t>basis.</w:t>
            </w:r>
          </w:p>
          <w:p w14:paraId="269DF9D1" w14:textId="77777777" w:rsidR="00C23B76" w:rsidRPr="00B96ED8" w:rsidRDefault="00D65794">
            <w:pPr>
              <w:pStyle w:val="TableParagraph"/>
              <w:numPr>
                <w:ilvl w:val="0"/>
                <w:numId w:val="20"/>
              </w:numPr>
              <w:tabs>
                <w:tab w:val="left" w:pos="376"/>
              </w:tabs>
              <w:spacing w:before="122"/>
              <w:ind w:right="99" w:firstLine="0"/>
              <w:jc w:val="both"/>
              <w:rPr>
                <w:rFonts w:asciiTheme="minorHAnsi" w:hAnsiTheme="minorHAnsi" w:cstheme="minorHAnsi"/>
                <w:sz w:val="16"/>
              </w:rPr>
            </w:pPr>
            <w:r w:rsidRPr="00B96ED8">
              <w:rPr>
                <w:rFonts w:asciiTheme="minorHAnsi" w:hAnsiTheme="minorHAnsi" w:cstheme="minorHAnsi"/>
                <w:sz w:val="16"/>
              </w:rPr>
              <w:t>Together with the involved governments, identify the possible Project</w:t>
            </w:r>
            <w:r w:rsidRPr="00B96ED8">
              <w:rPr>
                <w:rFonts w:asciiTheme="minorHAnsi" w:hAnsiTheme="minorHAnsi" w:cstheme="minorHAnsi"/>
                <w:spacing w:val="-4"/>
                <w:sz w:val="16"/>
              </w:rPr>
              <w:t xml:space="preserve"> </w:t>
            </w:r>
            <w:r w:rsidRPr="00B96ED8">
              <w:rPr>
                <w:rFonts w:asciiTheme="minorHAnsi" w:hAnsiTheme="minorHAnsi" w:cstheme="minorHAnsi"/>
                <w:sz w:val="16"/>
              </w:rPr>
              <w:t>Executing</w:t>
            </w:r>
            <w:r w:rsidRPr="00B96ED8">
              <w:rPr>
                <w:rFonts w:asciiTheme="minorHAnsi" w:hAnsiTheme="minorHAnsi" w:cstheme="minorHAnsi"/>
                <w:spacing w:val="-5"/>
                <w:sz w:val="16"/>
              </w:rPr>
              <w:t xml:space="preserve"> </w:t>
            </w:r>
            <w:r w:rsidRPr="00B96ED8">
              <w:rPr>
                <w:rFonts w:asciiTheme="minorHAnsi" w:hAnsiTheme="minorHAnsi" w:cstheme="minorHAnsi"/>
                <w:sz w:val="16"/>
              </w:rPr>
              <w:t>Entity</w:t>
            </w:r>
            <w:r w:rsidRPr="00B96ED8">
              <w:rPr>
                <w:rFonts w:asciiTheme="minorHAnsi" w:hAnsiTheme="minorHAnsi" w:cstheme="minorHAnsi"/>
                <w:spacing w:val="-9"/>
                <w:sz w:val="16"/>
              </w:rPr>
              <w:t xml:space="preserve"> </w:t>
            </w:r>
            <w:r w:rsidRPr="00B96ED8">
              <w:rPr>
                <w:rFonts w:asciiTheme="minorHAnsi" w:hAnsiTheme="minorHAnsi" w:cstheme="minorHAnsi"/>
                <w:sz w:val="16"/>
              </w:rPr>
              <w:t>(EA)</w:t>
            </w:r>
            <w:r w:rsidRPr="00B96ED8">
              <w:rPr>
                <w:rFonts w:asciiTheme="minorHAnsi" w:hAnsiTheme="minorHAnsi" w:cstheme="minorHAnsi"/>
                <w:spacing w:val="-5"/>
                <w:sz w:val="16"/>
              </w:rPr>
              <w:t xml:space="preserve"> </w:t>
            </w:r>
            <w:r w:rsidRPr="00B96ED8">
              <w:rPr>
                <w:rFonts w:asciiTheme="minorHAnsi" w:hAnsiTheme="minorHAnsi" w:cstheme="minorHAnsi"/>
                <w:sz w:val="16"/>
              </w:rPr>
              <w:t>for</w:t>
            </w:r>
            <w:r w:rsidRPr="00B96ED8">
              <w:rPr>
                <w:rFonts w:asciiTheme="minorHAnsi" w:hAnsiTheme="minorHAnsi" w:cstheme="minorHAnsi"/>
                <w:spacing w:val="-5"/>
                <w:sz w:val="16"/>
              </w:rPr>
              <w:t xml:space="preserve"> </w:t>
            </w:r>
            <w:r w:rsidRPr="00B96ED8">
              <w:rPr>
                <w:rFonts w:asciiTheme="minorHAnsi" w:hAnsiTheme="minorHAnsi" w:cstheme="minorHAnsi"/>
                <w:sz w:val="16"/>
              </w:rPr>
              <w:t>the</w:t>
            </w:r>
            <w:r w:rsidRPr="00B96ED8">
              <w:rPr>
                <w:rFonts w:asciiTheme="minorHAnsi" w:hAnsiTheme="minorHAnsi" w:cstheme="minorHAnsi"/>
                <w:spacing w:val="-9"/>
                <w:sz w:val="16"/>
              </w:rPr>
              <w:t xml:space="preserve"> </w:t>
            </w:r>
            <w:r w:rsidRPr="00B96ED8">
              <w:rPr>
                <w:rFonts w:asciiTheme="minorHAnsi" w:hAnsiTheme="minorHAnsi" w:cstheme="minorHAnsi"/>
                <w:sz w:val="16"/>
              </w:rPr>
              <w:t>project</w:t>
            </w:r>
            <w:r w:rsidRPr="00B96ED8">
              <w:rPr>
                <w:rFonts w:asciiTheme="minorHAnsi" w:hAnsiTheme="minorHAnsi" w:cstheme="minorHAnsi"/>
                <w:spacing w:val="-6"/>
                <w:sz w:val="16"/>
              </w:rPr>
              <w:t xml:space="preserve"> </w:t>
            </w:r>
            <w:r w:rsidRPr="00B96ED8">
              <w:rPr>
                <w:rFonts w:asciiTheme="minorHAnsi" w:hAnsiTheme="minorHAnsi" w:cstheme="minorHAnsi"/>
                <w:sz w:val="16"/>
              </w:rPr>
              <w:t>and</w:t>
            </w:r>
            <w:r w:rsidRPr="00B96ED8">
              <w:rPr>
                <w:rFonts w:asciiTheme="minorHAnsi" w:hAnsiTheme="minorHAnsi" w:cstheme="minorHAnsi"/>
                <w:spacing w:val="-5"/>
                <w:sz w:val="16"/>
              </w:rPr>
              <w:t xml:space="preserve"> </w:t>
            </w:r>
            <w:r w:rsidRPr="00B96ED8">
              <w:rPr>
                <w:rFonts w:asciiTheme="minorHAnsi" w:hAnsiTheme="minorHAnsi" w:cstheme="minorHAnsi"/>
                <w:sz w:val="16"/>
              </w:rPr>
              <w:t>review</w:t>
            </w:r>
            <w:r w:rsidRPr="00B96ED8">
              <w:rPr>
                <w:rFonts w:asciiTheme="minorHAnsi" w:hAnsiTheme="minorHAnsi" w:cstheme="minorHAnsi"/>
                <w:spacing w:val="-8"/>
                <w:sz w:val="16"/>
              </w:rPr>
              <w:t xml:space="preserve"> </w:t>
            </w:r>
            <w:r w:rsidRPr="00B96ED8">
              <w:rPr>
                <w:rFonts w:asciiTheme="minorHAnsi" w:hAnsiTheme="minorHAnsi" w:cstheme="minorHAnsi"/>
                <w:sz w:val="16"/>
              </w:rPr>
              <w:t>the</w:t>
            </w:r>
            <w:r w:rsidRPr="00B96ED8">
              <w:rPr>
                <w:rFonts w:asciiTheme="minorHAnsi" w:hAnsiTheme="minorHAnsi" w:cstheme="minorHAnsi"/>
                <w:spacing w:val="-8"/>
                <w:sz w:val="16"/>
              </w:rPr>
              <w:t xml:space="preserve"> </w:t>
            </w:r>
            <w:r w:rsidRPr="00B96ED8">
              <w:rPr>
                <w:rFonts w:asciiTheme="minorHAnsi" w:hAnsiTheme="minorHAnsi" w:cstheme="minorHAnsi"/>
                <w:sz w:val="16"/>
              </w:rPr>
              <w:t>proposed execution</w:t>
            </w:r>
            <w:r w:rsidRPr="00B96ED8">
              <w:rPr>
                <w:rFonts w:asciiTheme="minorHAnsi" w:hAnsiTheme="minorHAnsi" w:cstheme="minorHAnsi"/>
                <w:spacing w:val="-2"/>
                <w:sz w:val="16"/>
              </w:rPr>
              <w:t xml:space="preserve"> </w:t>
            </w:r>
            <w:r w:rsidRPr="00B96ED8">
              <w:rPr>
                <w:rFonts w:asciiTheme="minorHAnsi" w:hAnsiTheme="minorHAnsi" w:cstheme="minorHAnsi"/>
                <w:sz w:val="16"/>
              </w:rPr>
              <w:t>arrangements.</w:t>
            </w:r>
          </w:p>
          <w:p w14:paraId="269DF9D2" w14:textId="77777777" w:rsidR="00C23B76" w:rsidRPr="00B96ED8" w:rsidRDefault="00D65794">
            <w:pPr>
              <w:pStyle w:val="TableParagraph"/>
              <w:numPr>
                <w:ilvl w:val="0"/>
                <w:numId w:val="20"/>
              </w:numPr>
              <w:tabs>
                <w:tab w:val="left" w:pos="431"/>
              </w:tabs>
              <w:spacing w:before="120"/>
              <w:ind w:right="95" w:firstLine="0"/>
              <w:jc w:val="both"/>
              <w:rPr>
                <w:rFonts w:asciiTheme="minorHAnsi" w:hAnsiTheme="minorHAnsi" w:cstheme="minorHAnsi"/>
                <w:sz w:val="16"/>
              </w:rPr>
            </w:pPr>
            <w:r w:rsidRPr="00B96ED8">
              <w:rPr>
                <w:rFonts w:asciiTheme="minorHAnsi" w:hAnsiTheme="minorHAnsi" w:cstheme="minorHAnsi"/>
                <w:sz w:val="16"/>
              </w:rPr>
              <w:t>Together with the project proponent, review options for co- financing and</w:t>
            </w:r>
            <w:r w:rsidRPr="00B96ED8">
              <w:rPr>
                <w:rFonts w:asciiTheme="minorHAnsi" w:hAnsiTheme="minorHAnsi" w:cstheme="minorHAnsi"/>
                <w:spacing w:val="-3"/>
                <w:sz w:val="16"/>
              </w:rPr>
              <w:t xml:space="preserve"> </w:t>
            </w:r>
            <w:r w:rsidRPr="00B96ED8">
              <w:rPr>
                <w:rFonts w:asciiTheme="minorHAnsi" w:hAnsiTheme="minorHAnsi" w:cstheme="minorHAnsi"/>
                <w:sz w:val="16"/>
              </w:rPr>
              <w:t>partnerships.</w:t>
            </w:r>
          </w:p>
          <w:p w14:paraId="269DF9D3" w14:textId="77777777" w:rsidR="00C23B76" w:rsidRPr="00B96ED8" w:rsidRDefault="00D65794">
            <w:pPr>
              <w:pStyle w:val="TableParagraph"/>
              <w:numPr>
                <w:ilvl w:val="0"/>
                <w:numId w:val="20"/>
              </w:numPr>
              <w:tabs>
                <w:tab w:val="left" w:pos="408"/>
              </w:tabs>
              <w:spacing w:before="119"/>
              <w:ind w:right="100" w:firstLine="0"/>
              <w:jc w:val="both"/>
              <w:rPr>
                <w:rFonts w:asciiTheme="minorHAnsi" w:hAnsiTheme="minorHAnsi" w:cstheme="minorHAnsi"/>
                <w:sz w:val="16"/>
              </w:rPr>
            </w:pPr>
            <w:r w:rsidRPr="00B96ED8">
              <w:rPr>
                <w:rFonts w:asciiTheme="minorHAnsi" w:hAnsiTheme="minorHAnsi" w:cstheme="minorHAnsi"/>
                <w:sz w:val="16"/>
              </w:rPr>
              <w:t>Incorporate GEF opportunities in appropriate planning/country assistance strategy documents of the GEF</w:t>
            </w:r>
            <w:r w:rsidRPr="00B96ED8">
              <w:rPr>
                <w:rFonts w:asciiTheme="minorHAnsi" w:hAnsiTheme="minorHAnsi" w:cstheme="minorHAnsi"/>
                <w:spacing w:val="-15"/>
                <w:sz w:val="16"/>
              </w:rPr>
              <w:t xml:space="preserve"> </w:t>
            </w:r>
            <w:r w:rsidRPr="00B96ED8">
              <w:rPr>
                <w:rFonts w:asciiTheme="minorHAnsi" w:hAnsiTheme="minorHAnsi" w:cstheme="minorHAnsi"/>
                <w:sz w:val="16"/>
              </w:rPr>
              <w:t>Agency.</w:t>
            </w:r>
          </w:p>
          <w:p w14:paraId="269DF9D4" w14:textId="77777777" w:rsidR="00C23B76" w:rsidRPr="00B96ED8" w:rsidRDefault="00D65794">
            <w:pPr>
              <w:pStyle w:val="TableParagraph"/>
              <w:spacing w:before="124"/>
              <w:jc w:val="both"/>
              <w:rPr>
                <w:rFonts w:asciiTheme="minorHAnsi" w:hAnsiTheme="minorHAnsi" w:cstheme="minorHAnsi"/>
                <w:b/>
                <w:sz w:val="16"/>
              </w:rPr>
            </w:pPr>
            <w:r w:rsidRPr="00B96ED8">
              <w:rPr>
                <w:rFonts w:asciiTheme="minorHAnsi" w:hAnsiTheme="minorHAnsi" w:cstheme="minorHAnsi"/>
                <w:b/>
                <w:sz w:val="16"/>
              </w:rPr>
              <w:t>(b) Preparation of project concept</w:t>
            </w:r>
          </w:p>
          <w:p w14:paraId="269DF9D5" w14:textId="77777777" w:rsidR="00C23B76" w:rsidRPr="00B96ED8" w:rsidRDefault="00D65794">
            <w:pPr>
              <w:pStyle w:val="TableParagraph"/>
              <w:numPr>
                <w:ilvl w:val="0"/>
                <w:numId w:val="19"/>
              </w:numPr>
              <w:tabs>
                <w:tab w:val="left" w:pos="314"/>
              </w:tabs>
              <w:spacing w:before="116"/>
              <w:ind w:right="103" w:firstLine="0"/>
              <w:jc w:val="both"/>
              <w:rPr>
                <w:rFonts w:asciiTheme="minorHAnsi" w:hAnsiTheme="minorHAnsi" w:cstheme="minorHAnsi"/>
                <w:sz w:val="16"/>
              </w:rPr>
            </w:pPr>
            <w:r w:rsidRPr="00B96ED8">
              <w:rPr>
                <w:rFonts w:asciiTheme="minorHAnsi" w:hAnsiTheme="minorHAnsi" w:cstheme="minorHAnsi"/>
                <w:sz w:val="16"/>
              </w:rPr>
              <w:t>Discuss GEF eligibility criteria with the recipient country’s GEF operational focal point and other</w:t>
            </w:r>
            <w:r w:rsidRPr="00B96ED8">
              <w:rPr>
                <w:rFonts w:asciiTheme="minorHAnsi" w:hAnsiTheme="minorHAnsi" w:cstheme="minorHAnsi"/>
                <w:spacing w:val="-6"/>
                <w:sz w:val="16"/>
              </w:rPr>
              <w:t xml:space="preserve"> </w:t>
            </w:r>
            <w:r w:rsidRPr="00B96ED8">
              <w:rPr>
                <w:rFonts w:asciiTheme="minorHAnsi" w:hAnsiTheme="minorHAnsi" w:cstheme="minorHAnsi"/>
                <w:sz w:val="16"/>
              </w:rPr>
              <w:t>stakeholders.</w:t>
            </w:r>
          </w:p>
          <w:p w14:paraId="269DF9D6" w14:textId="77777777" w:rsidR="00C23B76" w:rsidRPr="00B96ED8" w:rsidRDefault="00D65794">
            <w:pPr>
              <w:pStyle w:val="TableParagraph"/>
              <w:numPr>
                <w:ilvl w:val="0"/>
                <w:numId w:val="19"/>
              </w:numPr>
              <w:tabs>
                <w:tab w:val="left" w:pos="345"/>
              </w:tabs>
              <w:spacing w:before="122"/>
              <w:ind w:left="344" w:hanging="238"/>
              <w:jc w:val="both"/>
              <w:rPr>
                <w:rFonts w:asciiTheme="minorHAnsi" w:hAnsiTheme="minorHAnsi" w:cstheme="minorHAnsi"/>
                <w:sz w:val="16"/>
              </w:rPr>
            </w:pPr>
            <w:r w:rsidRPr="00B96ED8">
              <w:rPr>
                <w:rFonts w:asciiTheme="minorHAnsi" w:hAnsiTheme="minorHAnsi" w:cstheme="minorHAnsi"/>
                <w:sz w:val="16"/>
              </w:rPr>
              <w:t>Undertake brief in-country consultation mission if</w:t>
            </w:r>
            <w:r w:rsidRPr="00B96ED8">
              <w:rPr>
                <w:rFonts w:asciiTheme="minorHAnsi" w:hAnsiTheme="minorHAnsi" w:cstheme="minorHAnsi"/>
                <w:spacing w:val="-18"/>
                <w:sz w:val="16"/>
              </w:rPr>
              <w:t xml:space="preserve"> </w:t>
            </w:r>
            <w:r w:rsidRPr="00B96ED8">
              <w:rPr>
                <w:rFonts w:asciiTheme="minorHAnsi" w:hAnsiTheme="minorHAnsi" w:cstheme="minorHAnsi"/>
                <w:sz w:val="16"/>
              </w:rPr>
              <w:t>necessary.</w:t>
            </w:r>
          </w:p>
          <w:p w14:paraId="269DF9D7" w14:textId="77777777" w:rsidR="00C23B76" w:rsidRPr="00B96ED8" w:rsidRDefault="00D65794">
            <w:pPr>
              <w:pStyle w:val="TableParagraph"/>
              <w:numPr>
                <w:ilvl w:val="0"/>
                <w:numId w:val="19"/>
              </w:numPr>
              <w:tabs>
                <w:tab w:val="left" w:pos="388"/>
              </w:tabs>
              <w:spacing w:before="120"/>
              <w:ind w:left="387" w:hanging="281"/>
              <w:jc w:val="both"/>
              <w:rPr>
                <w:rFonts w:asciiTheme="minorHAnsi" w:hAnsiTheme="minorHAnsi" w:cstheme="minorHAnsi"/>
                <w:sz w:val="16"/>
              </w:rPr>
            </w:pPr>
            <w:r w:rsidRPr="00B96ED8">
              <w:rPr>
                <w:rFonts w:asciiTheme="minorHAnsi" w:hAnsiTheme="minorHAnsi" w:cstheme="minorHAnsi"/>
                <w:sz w:val="16"/>
              </w:rPr>
              <w:t>Consult within the GEF</w:t>
            </w:r>
            <w:r w:rsidRPr="00B96ED8">
              <w:rPr>
                <w:rFonts w:asciiTheme="minorHAnsi" w:hAnsiTheme="minorHAnsi" w:cstheme="minorHAnsi"/>
                <w:spacing w:val="-4"/>
                <w:sz w:val="16"/>
              </w:rPr>
              <w:t xml:space="preserve"> </w:t>
            </w:r>
            <w:r w:rsidRPr="00B96ED8">
              <w:rPr>
                <w:rFonts w:asciiTheme="minorHAnsi" w:hAnsiTheme="minorHAnsi" w:cstheme="minorHAnsi"/>
                <w:sz w:val="16"/>
              </w:rPr>
              <w:t>Agency.</w:t>
            </w:r>
          </w:p>
          <w:p w14:paraId="269DF9D8" w14:textId="77777777" w:rsidR="00C23B76" w:rsidRPr="00B96ED8" w:rsidRDefault="00D65794">
            <w:pPr>
              <w:pStyle w:val="TableParagraph"/>
              <w:numPr>
                <w:ilvl w:val="0"/>
                <w:numId w:val="19"/>
              </w:numPr>
              <w:tabs>
                <w:tab w:val="left" w:pos="415"/>
              </w:tabs>
              <w:spacing w:before="119"/>
              <w:ind w:right="95" w:firstLine="0"/>
              <w:jc w:val="both"/>
              <w:rPr>
                <w:rFonts w:asciiTheme="minorHAnsi" w:hAnsiTheme="minorHAnsi" w:cstheme="minorHAnsi"/>
                <w:sz w:val="16"/>
              </w:rPr>
            </w:pPr>
            <w:r w:rsidRPr="00B96ED8">
              <w:rPr>
                <w:rFonts w:asciiTheme="minorHAnsi" w:hAnsiTheme="minorHAnsi" w:cstheme="minorHAnsi"/>
                <w:sz w:val="16"/>
              </w:rPr>
              <w:t xml:space="preserve">Assist project proponent to prepare </w:t>
            </w:r>
            <w:r w:rsidRPr="00B96ED8">
              <w:rPr>
                <w:rFonts w:asciiTheme="minorHAnsi" w:hAnsiTheme="minorHAnsi" w:cstheme="minorHAnsi"/>
                <w:spacing w:val="-3"/>
                <w:sz w:val="16"/>
              </w:rPr>
              <w:t xml:space="preserve">PIF, </w:t>
            </w:r>
            <w:r w:rsidRPr="00B96ED8">
              <w:rPr>
                <w:rFonts w:asciiTheme="minorHAnsi" w:hAnsiTheme="minorHAnsi" w:cstheme="minorHAnsi"/>
                <w:sz w:val="16"/>
              </w:rPr>
              <w:t>in consultation with appropriate stakeholders, including the GEF operational focal point and the GEF</w:t>
            </w:r>
            <w:r w:rsidRPr="00B96ED8">
              <w:rPr>
                <w:rFonts w:asciiTheme="minorHAnsi" w:hAnsiTheme="minorHAnsi" w:cstheme="minorHAnsi"/>
                <w:spacing w:val="-7"/>
                <w:sz w:val="16"/>
              </w:rPr>
              <w:t xml:space="preserve"> </w:t>
            </w:r>
            <w:r w:rsidRPr="00B96ED8">
              <w:rPr>
                <w:rFonts w:asciiTheme="minorHAnsi" w:hAnsiTheme="minorHAnsi" w:cstheme="minorHAnsi"/>
                <w:sz w:val="16"/>
              </w:rPr>
              <w:t>Secretariat.</w:t>
            </w:r>
          </w:p>
          <w:p w14:paraId="269DF9D9" w14:textId="77777777" w:rsidR="00C23B76" w:rsidRPr="00B96ED8" w:rsidRDefault="00D65794">
            <w:pPr>
              <w:pStyle w:val="TableParagraph"/>
              <w:numPr>
                <w:ilvl w:val="0"/>
                <w:numId w:val="19"/>
              </w:numPr>
              <w:tabs>
                <w:tab w:val="left" w:pos="336"/>
              </w:tabs>
              <w:spacing w:before="120"/>
              <w:ind w:left="335" w:hanging="229"/>
              <w:jc w:val="both"/>
              <w:rPr>
                <w:rFonts w:asciiTheme="minorHAnsi" w:hAnsiTheme="minorHAnsi" w:cstheme="minorHAnsi"/>
                <w:sz w:val="16"/>
              </w:rPr>
            </w:pPr>
            <w:r w:rsidRPr="00B96ED8">
              <w:rPr>
                <w:rFonts w:asciiTheme="minorHAnsi" w:hAnsiTheme="minorHAnsi" w:cstheme="minorHAnsi"/>
                <w:sz w:val="16"/>
              </w:rPr>
              <w:t>Assist the project proponent to prepare the</w:t>
            </w:r>
            <w:r w:rsidRPr="00B96ED8">
              <w:rPr>
                <w:rFonts w:asciiTheme="minorHAnsi" w:hAnsiTheme="minorHAnsi" w:cstheme="minorHAnsi"/>
                <w:spacing w:val="-12"/>
                <w:sz w:val="16"/>
              </w:rPr>
              <w:t xml:space="preserve"> </w:t>
            </w:r>
            <w:r w:rsidRPr="00B96ED8">
              <w:rPr>
                <w:rFonts w:asciiTheme="minorHAnsi" w:hAnsiTheme="minorHAnsi" w:cstheme="minorHAnsi"/>
                <w:sz w:val="16"/>
              </w:rPr>
              <w:t>PPG.</w:t>
            </w:r>
          </w:p>
          <w:p w14:paraId="269DF9DA" w14:textId="77777777" w:rsidR="00C23B76" w:rsidRPr="00B96ED8" w:rsidRDefault="00D65794">
            <w:pPr>
              <w:pStyle w:val="TableParagraph"/>
              <w:numPr>
                <w:ilvl w:val="0"/>
                <w:numId w:val="19"/>
              </w:numPr>
              <w:tabs>
                <w:tab w:val="left" w:pos="417"/>
              </w:tabs>
              <w:spacing w:before="121"/>
              <w:ind w:right="99" w:firstLine="0"/>
              <w:jc w:val="both"/>
              <w:rPr>
                <w:rFonts w:asciiTheme="minorHAnsi" w:hAnsiTheme="minorHAnsi" w:cstheme="minorHAnsi"/>
                <w:sz w:val="16"/>
              </w:rPr>
            </w:pPr>
            <w:r w:rsidRPr="00B96ED8">
              <w:rPr>
                <w:rFonts w:asciiTheme="minorHAnsi" w:hAnsiTheme="minorHAnsi" w:cstheme="minorHAnsi"/>
                <w:sz w:val="16"/>
              </w:rPr>
              <w:t>Obtain endorsement letter(s) from the GEF operational focal point(s).</w:t>
            </w:r>
          </w:p>
          <w:p w14:paraId="269DF9DB" w14:textId="77777777" w:rsidR="00C23B76" w:rsidRPr="00B96ED8" w:rsidRDefault="00D65794">
            <w:pPr>
              <w:pStyle w:val="TableParagraph"/>
              <w:numPr>
                <w:ilvl w:val="0"/>
                <w:numId w:val="19"/>
              </w:numPr>
              <w:tabs>
                <w:tab w:val="left" w:pos="480"/>
              </w:tabs>
              <w:spacing w:before="119"/>
              <w:ind w:right="99" w:firstLine="0"/>
              <w:jc w:val="both"/>
              <w:rPr>
                <w:rFonts w:asciiTheme="minorHAnsi" w:hAnsiTheme="minorHAnsi" w:cstheme="minorHAnsi"/>
                <w:sz w:val="16"/>
              </w:rPr>
            </w:pPr>
            <w:r w:rsidRPr="00B96ED8">
              <w:rPr>
                <w:rFonts w:asciiTheme="minorHAnsi" w:hAnsiTheme="minorHAnsi" w:cstheme="minorHAnsi"/>
                <w:sz w:val="16"/>
              </w:rPr>
              <w:t>Discuss with the GEF Secretariat PIF clearance and PPG approval.</w:t>
            </w:r>
          </w:p>
          <w:p w14:paraId="269DF9DC" w14:textId="77777777" w:rsidR="00C23B76" w:rsidRPr="00B96ED8" w:rsidRDefault="00D65794">
            <w:pPr>
              <w:pStyle w:val="TableParagraph"/>
              <w:spacing w:before="124"/>
              <w:jc w:val="both"/>
              <w:rPr>
                <w:rFonts w:asciiTheme="minorHAnsi" w:hAnsiTheme="minorHAnsi" w:cstheme="minorHAnsi"/>
                <w:b/>
                <w:sz w:val="16"/>
              </w:rPr>
            </w:pPr>
            <w:r w:rsidRPr="00B96ED8">
              <w:rPr>
                <w:rFonts w:asciiTheme="minorHAnsi" w:hAnsiTheme="minorHAnsi" w:cstheme="minorHAnsi"/>
                <w:b/>
                <w:sz w:val="16"/>
              </w:rPr>
              <w:t>(c) Preparation of the detailed Project Document</w:t>
            </w:r>
          </w:p>
          <w:p w14:paraId="269DF9DD" w14:textId="77777777" w:rsidR="00C23B76" w:rsidRPr="00B96ED8" w:rsidRDefault="00D65794">
            <w:pPr>
              <w:pStyle w:val="TableParagraph"/>
              <w:numPr>
                <w:ilvl w:val="0"/>
                <w:numId w:val="18"/>
              </w:numPr>
              <w:tabs>
                <w:tab w:val="left" w:pos="302"/>
              </w:tabs>
              <w:spacing w:before="116"/>
              <w:ind w:right="101" w:firstLine="0"/>
              <w:jc w:val="both"/>
              <w:rPr>
                <w:rFonts w:asciiTheme="minorHAnsi" w:hAnsiTheme="minorHAnsi" w:cstheme="minorHAnsi"/>
                <w:sz w:val="16"/>
              </w:rPr>
            </w:pPr>
            <w:r w:rsidRPr="00B96ED8">
              <w:rPr>
                <w:rFonts w:asciiTheme="minorHAnsi" w:hAnsiTheme="minorHAnsi" w:cstheme="minorHAnsi"/>
                <w:sz w:val="16"/>
              </w:rPr>
              <w:t>Prepare and execute legal agreements for PPG activities. Keep the operational focal point</w:t>
            </w:r>
            <w:r w:rsidRPr="00B96ED8">
              <w:rPr>
                <w:rFonts w:asciiTheme="minorHAnsi" w:hAnsiTheme="minorHAnsi" w:cstheme="minorHAnsi"/>
                <w:spacing w:val="-4"/>
                <w:sz w:val="16"/>
              </w:rPr>
              <w:t xml:space="preserve"> </w:t>
            </w:r>
            <w:r w:rsidRPr="00B96ED8">
              <w:rPr>
                <w:rFonts w:asciiTheme="minorHAnsi" w:hAnsiTheme="minorHAnsi" w:cstheme="minorHAnsi"/>
                <w:sz w:val="16"/>
              </w:rPr>
              <w:t>informed.</w:t>
            </w:r>
          </w:p>
          <w:p w14:paraId="269DF9DE" w14:textId="77777777" w:rsidR="00C23B76" w:rsidRPr="00B96ED8" w:rsidRDefault="00D65794">
            <w:pPr>
              <w:pStyle w:val="TableParagraph"/>
              <w:numPr>
                <w:ilvl w:val="0"/>
                <w:numId w:val="18"/>
              </w:numPr>
              <w:tabs>
                <w:tab w:val="left" w:pos="362"/>
              </w:tabs>
              <w:spacing w:before="120"/>
              <w:ind w:right="101" w:firstLine="0"/>
              <w:jc w:val="both"/>
              <w:rPr>
                <w:rFonts w:asciiTheme="minorHAnsi" w:hAnsiTheme="minorHAnsi" w:cstheme="minorHAnsi"/>
                <w:sz w:val="16"/>
              </w:rPr>
            </w:pPr>
            <w:r w:rsidRPr="00B96ED8">
              <w:rPr>
                <w:rFonts w:asciiTheme="minorHAnsi" w:hAnsiTheme="minorHAnsi" w:cstheme="minorHAnsi"/>
                <w:sz w:val="16"/>
              </w:rPr>
              <w:t>Help the project proponent write terms of reference (TORs) for consultant(s), if required, to undertake PPG</w:t>
            </w:r>
            <w:r w:rsidRPr="00B96ED8">
              <w:rPr>
                <w:rFonts w:asciiTheme="minorHAnsi" w:hAnsiTheme="minorHAnsi" w:cstheme="minorHAnsi"/>
                <w:spacing w:val="-17"/>
                <w:sz w:val="16"/>
              </w:rPr>
              <w:t xml:space="preserve"> </w:t>
            </w:r>
            <w:r w:rsidRPr="00B96ED8">
              <w:rPr>
                <w:rFonts w:asciiTheme="minorHAnsi" w:hAnsiTheme="minorHAnsi" w:cstheme="minorHAnsi"/>
                <w:sz w:val="16"/>
              </w:rPr>
              <w:t>activities.</w:t>
            </w:r>
          </w:p>
          <w:p w14:paraId="269DF9DF" w14:textId="77777777" w:rsidR="00C23B76" w:rsidRPr="00B96ED8" w:rsidRDefault="00D65794">
            <w:pPr>
              <w:pStyle w:val="TableParagraph"/>
              <w:numPr>
                <w:ilvl w:val="0"/>
                <w:numId w:val="18"/>
              </w:numPr>
              <w:tabs>
                <w:tab w:val="left" w:pos="393"/>
              </w:tabs>
              <w:spacing w:before="119"/>
              <w:ind w:right="99" w:firstLine="0"/>
              <w:jc w:val="both"/>
              <w:rPr>
                <w:rFonts w:asciiTheme="minorHAnsi" w:hAnsiTheme="minorHAnsi" w:cstheme="minorHAnsi"/>
                <w:sz w:val="16"/>
              </w:rPr>
            </w:pPr>
            <w:r w:rsidRPr="00B96ED8">
              <w:rPr>
                <w:rFonts w:asciiTheme="minorHAnsi" w:hAnsiTheme="minorHAnsi" w:cstheme="minorHAnsi"/>
                <w:sz w:val="16"/>
              </w:rPr>
              <w:t>Assist the project proponent to identify and recruit consultants to assist with project preparation, if</w:t>
            </w:r>
            <w:r w:rsidRPr="00B96ED8">
              <w:rPr>
                <w:rFonts w:asciiTheme="minorHAnsi" w:hAnsiTheme="minorHAnsi" w:cstheme="minorHAnsi"/>
                <w:spacing w:val="-6"/>
                <w:sz w:val="16"/>
              </w:rPr>
              <w:t xml:space="preserve"> </w:t>
            </w:r>
            <w:r w:rsidRPr="00B96ED8">
              <w:rPr>
                <w:rFonts w:asciiTheme="minorHAnsi" w:hAnsiTheme="minorHAnsi" w:cstheme="minorHAnsi"/>
                <w:sz w:val="16"/>
              </w:rPr>
              <w:t>necessary.</w:t>
            </w:r>
          </w:p>
          <w:p w14:paraId="269DF9E0" w14:textId="77777777" w:rsidR="00C23B76" w:rsidRPr="00B96ED8" w:rsidRDefault="00D65794">
            <w:pPr>
              <w:pStyle w:val="TableParagraph"/>
              <w:numPr>
                <w:ilvl w:val="0"/>
                <w:numId w:val="18"/>
              </w:numPr>
              <w:tabs>
                <w:tab w:val="left" w:pos="377"/>
              </w:tabs>
              <w:spacing w:before="122"/>
              <w:ind w:right="94" w:firstLine="0"/>
              <w:jc w:val="both"/>
              <w:rPr>
                <w:rFonts w:asciiTheme="minorHAnsi" w:hAnsiTheme="minorHAnsi" w:cstheme="minorHAnsi"/>
                <w:sz w:val="16"/>
              </w:rPr>
            </w:pPr>
            <w:r w:rsidRPr="00B96ED8">
              <w:rPr>
                <w:rFonts w:asciiTheme="minorHAnsi" w:hAnsiTheme="minorHAnsi" w:cstheme="minorHAnsi"/>
                <w:sz w:val="16"/>
              </w:rPr>
              <w:t>Supervise</w:t>
            </w:r>
            <w:r w:rsidRPr="00B96ED8">
              <w:rPr>
                <w:rFonts w:asciiTheme="minorHAnsi" w:hAnsiTheme="minorHAnsi" w:cstheme="minorHAnsi"/>
                <w:spacing w:val="-8"/>
                <w:sz w:val="16"/>
              </w:rPr>
              <w:t xml:space="preserve"> </w:t>
            </w:r>
            <w:r w:rsidRPr="00B96ED8">
              <w:rPr>
                <w:rFonts w:asciiTheme="minorHAnsi" w:hAnsiTheme="minorHAnsi" w:cstheme="minorHAnsi"/>
                <w:sz w:val="16"/>
              </w:rPr>
              <w:t>project</w:t>
            </w:r>
            <w:r w:rsidRPr="00B96ED8">
              <w:rPr>
                <w:rFonts w:asciiTheme="minorHAnsi" w:hAnsiTheme="minorHAnsi" w:cstheme="minorHAnsi"/>
                <w:spacing w:val="-7"/>
                <w:sz w:val="16"/>
              </w:rPr>
              <w:t xml:space="preserve"> </w:t>
            </w:r>
            <w:r w:rsidRPr="00B96ED8">
              <w:rPr>
                <w:rFonts w:asciiTheme="minorHAnsi" w:hAnsiTheme="minorHAnsi" w:cstheme="minorHAnsi"/>
                <w:sz w:val="16"/>
              </w:rPr>
              <w:t>preparation,</w:t>
            </w:r>
            <w:r w:rsidRPr="00B96ED8">
              <w:rPr>
                <w:rFonts w:asciiTheme="minorHAnsi" w:hAnsiTheme="minorHAnsi" w:cstheme="minorHAnsi"/>
                <w:spacing w:val="-5"/>
                <w:sz w:val="16"/>
              </w:rPr>
              <w:t xml:space="preserve"> </w:t>
            </w:r>
            <w:r w:rsidRPr="00B96ED8">
              <w:rPr>
                <w:rFonts w:asciiTheme="minorHAnsi" w:hAnsiTheme="minorHAnsi" w:cstheme="minorHAnsi"/>
                <w:sz w:val="16"/>
              </w:rPr>
              <w:t>in</w:t>
            </w:r>
            <w:r w:rsidRPr="00B96ED8">
              <w:rPr>
                <w:rFonts w:asciiTheme="minorHAnsi" w:hAnsiTheme="minorHAnsi" w:cstheme="minorHAnsi"/>
                <w:spacing w:val="-7"/>
                <w:sz w:val="16"/>
              </w:rPr>
              <w:t xml:space="preserve"> </w:t>
            </w:r>
            <w:r w:rsidRPr="00B96ED8">
              <w:rPr>
                <w:rFonts w:asciiTheme="minorHAnsi" w:hAnsiTheme="minorHAnsi" w:cstheme="minorHAnsi"/>
                <w:sz w:val="16"/>
              </w:rPr>
              <w:t>consultation</w:t>
            </w:r>
            <w:r w:rsidRPr="00B96ED8">
              <w:rPr>
                <w:rFonts w:asciiTheme="minorHAnsi" w:hAnsiTheme="minorHAnsi" w:cstheme="minorHAnsi"/>
                <w:spacing w:val="-5"/>
                <w:sz w:val="16"/>
              </w:rPr>
              <w:t xml:space="preserve"> </w:t>
            </w:r>
            <w:r w:rsidRPr="00B96ED8">
              <w:rPr>
                <w:rFonts w:asciiTheme="minorHAnsi" w:hAnsiTheme="minorHAnsi" w:cstheme="minorHAnsi"/>
                <w:sz w:val="16"/>
              </w:rPr>
              <w:t>with</w:t>
            </w:r>
            <w:r w:rsidRPr="00B96ED8">
              <w:rPr>
                <w:rFonts w:asciiTheme="minorHAnsi" w:hAnsiTheme="minorHAnsi" w:cstheme="minorHAnsi"/>
                <w:spacing w:val="-4"/>
                <w:sz w:val="16"/>
              </w:rPr>
              <w:t xml:space="preserve"> </w:t>
            </w:r>
            <w:r w:rsidRPr="00B96ED8">
              <w:rPr>
                <w:rFonts w:asciiTheme="minorHAnsi" w:hAnsiTheme="minorHAnsi" w:cstheme="minorHAnsi"/>
                <w:sz w:val="16"/>
              </w:rPr>
              <w:t>all</w:t>
            </w:r>
            <w:r w:rsidRPr="00B96ED8">
              <w:rPr>
                <w:rFonts w:asciiTheme="minorHAnsi" w:hAnsiTheme="minorHAnsi" w:cstheme="minorHAnsi"/>
                <w:spacing w:val="-7"/>
                <w:sz w:val="16"/>
              </w:rPr>
              <w:t xml:space="preserve"> </w:t>
            </w:r>
            <w:r w:rsidRPr="00B96ED8">
              <w:rPr>
                <w:rFonts w:asciiTheme="minorHAnsi" w:hAnsiTheme="minorHAnsi" w:cstheme="minorHAnsi"/>
                <w:sz w:val="16"/>
              </w:rPr>
              <w:t>appropriate stakeholders, including missions to the field, with particular focus on risk assessment, governance issues, execution arrangements, co- financing, capacity development, partnership building and</w:t>
            </w:r>
            <w:r w:rsidRPr="00B96ED8">
              <w:rPr>
                <w:rFonts w:asciiTheme="minorHAnsi" w:hAnsiTheme="minorHAnsi" w:cstheme="minorHAnsi"/>
                <w:spacing w:val="-27"/>
                <w:sz w:val="16"/>
              </w:rPr>
              <w:t xml:space="preserve"> </w:t>
            </w:r>
            <w:r w:rsidRPr="00B96ED8">
              <w:rPr>
                <w:rFonts w:asciiTheme="minorHAnsi" w:hAnsiTheme="minorHAnsi" w:cstheme="minorHAnsi"/>
                <w:sz w:val="16"/>
              </w:rPr>
              <w:t>outreach.</w:t>
            </w:r>
          </w:p>
          <w:p w14:paraId="269DF9E1" w14:textId="77777777" w:rsidR="00C23B76" w:rsidRPr="00B96ED8" w:rsidRDefault="00D65794">
            <w:pPr>
              <w:pStyle w:val="TableParagraph"/>
              <w:numPr>
                <w:ilvl w:val="0"/>
                <w:numId w:val="18"/>
              </w:numPr>
              <w:tabs>
                <w:tab w:val="left" w:pos="413"/>
              </w:tabs>
              <w:spacing w:before="119"/>
              <w:ind w:right="97" w:firstLine="0"/>
              <w:jc w:val="both"/>
              <w:rPr>
                <w:rFonts w:asciiTheme="minorHAnsi" w:hAnsiTheme="minorHAnsi" w:cstheme="minorHAnsi"/>
                <w:sz w:val="16"/>
              </w:rPr>
            </w:pPr>
            <w:r w:rsidRPr="00B96ED8">
              <w:rPr>
                <w:rFonts w:asciiTheme="minorHAnsi" w:hAnsiTheme="minorHAnsi" w:cstheme="minorHAnsi"/>
                <w:sz w:val="16"/>
              </w:rPr>
              <w:t>Negotiate and reach agreement on incremental cost with government and other relevant</w:t>
            </w:r>
            <w:r w:rsidRPr="00B96ED8">
              <w:rPr>
                <w:rFonts w:asciiTheme="minorHAnsi" w:hAnsiTheme="minorHAnsi" w:cstheme="minorHAnsi"/>
                <w:spacing w:val="-1"/>
                <w:sz w:val="16"/>
              </w:rPr>
              <w:t xml:space="preserve"> </w:t>
            </w:r>
            <w:r w:rsidRPr="00B96ED8">
              <w:rPr>
                <w:rFonts w:asciiTheme="minorHAnsi" w:hAnsiTheme="minorHAnsi" w:cstheme="minorHAnsi"/>
                <w:sz w:val="16"/>
              </w:rPr>
              <w:t>stakeholders.</w:t>
            </w:r>
          </w:p>
          <w:p w14:paraId="269DF9E2" w14:textId="77777777" w:rsidR="00C23B76" w:rsidRPr="00B96ED8" w:rsidRDefault="00D65794">
            <w:pPr>
              <w:pStyle w:val="TableParagraph"/>
              <w:numPr>
                <w:ilvl w:val="0"/>
                <w:numId w:val="18"/>
              </w:numPr>
              <w:tabs>
                <w:tab w:val="left" w:pos="396"/>
              </w:tabs>
              <w:spacing w:before="121"/>
              <w:ind w:right="99" w:firstLine="0"/>
              <w:jc w:val="both"/>
              <w:rPr>
                <w:rFonts w:asciiTheme="minorHAnsi" w:hAnsiTheme="minorHAnsi" w:cstheme="minorHAnsi"/>
                <w:sz w:val="16"/>
              </w:rPr>
            </w:pPr>
            <w:r w:rsidRPr="00B96ED8">
              <w:rPr>
                <w:rFonts w:asciiTheme="minorHAnsi" w:hAnsiTheme="minorHAnsi" w:cstheme="minorHAnsi"/>
                <w:sz w:val="16"/>
              </w:rPr>
              <w:t>Provide technical oversight on the preparation of GEF tracking tools for different focal</w:t>
            </w:r>
            <w:r w:rsidRPr="00B96ED8">
              <w:rPr>
                <w:rFonts w:asciiTheme="minorHAnsi" w:hAnsiTheme="minorHAnsi" w:cstheme="minorHAnsi"/>
                <w:spacing w:val="-2"/>
                <w:sz w:val="16"/>
              </w:rPr>
              <w:t xml:space="preserve"> </w:t>
            </w:r>
            <w:r w:rsidRPr="00B96ED8">
              <w:rPr>
                <w:rFonts w:asciiTheme="minorHAnsi" w:hAnsiTheme="minorHAnsi" w:cstheme="minorHAnsi"/>
                <w:sz w:val="16"/>
              </w:rPr>
              <w:t>areas.</w:t>
            </w:r>
          </w:p>
          <w:p w14:paraId="269DF9E3" w14:textId="77777777" w:rsidR="00C23B76" w:rsidRDefault="00D65794">
            <w:pPr>
              <w:pStyle w:val="TableParagraph"/>
              <w:numPr>
                <w:ilvl w:val="0"/>
                <w:numId w:val="18"/>
              </w:numPr>
              <w:tabs>
                <w:tab w:val="left" w:pos="568"/>
              </w:tabs>
              <w:spacing w:before="119"/>
              <w:ind w:right="100" w:firstLine="0"/>
              <w:jc w:val="both"/>
              <w:rPr>
                <w:sz w:val="16"/>
              </w:rPr>
            </w:pPr>
            <w:r w:rsidRPr="00B96ED8">
              <w:rPr>
                <w:rFonts w:asciiTheme="minorHAnsi" w:hAnsiTheme="minorHAnsi" w:cstheme="minorHAnsi"/>
                <w:sz w:val="16"/>
              </w:rPr>
              <w:t>Submit Project Document with Request for CEO Endorsement/Approval template to the GEF</w:t>
            </w:r>
            <w:r w:rsidRPr="00B96ED8">
              <w:rPr>
                <w:rFonts w:asciiTheme="minorHAnsi" w:hAnsiTheme="minorHAnsi" w:cstheme="minorHAnsi"/>
                <w:spacing w:val="-14"/>
                <w:sz w:val="16"/>
              </w:rPr>
              <w:t xml:space="preserve"> </w:t>
            </w:r>
            <w:r w:rsidRPr="00B96ED8">
              <w:rPr>
                <w:rFonts w:asciiTheme="minorHAnsi" w:hAnsiTheme="minorHAnsi" w:cstheme="minorHAnsi"/>
                <w:sz w:val="16"/>
              </w:rPr>
              <w:t>Secretariat.</w:t>
            </w:r>
          </w:p>
        </w:tc>
      </w:tr>
    </w:tbl>
    <w:p w14:paraId="269DF9E5" w14:textId="77777777" w:rsidR="00C23B76" w:rsidRDefault="00C23B76">
      <w:pPr>
        <w:jc w:val="both"/>
        <w:rPr>
          <w:sz w:val="16"/>
        </w:rPr>
        <w:sectPr w:rsidR="00C23B76">
          <w:pgSz w:w="12240" w:h="15840"/>
          <w:pgMar w:top="1340" w:right="1320" w:bottom="1260" w:left="1340" w:header="182" w:footer="1066" w:gutter="0"/>
          <w:cols w:space="720"/>
        </w:sectPr>
      </w:pPr>
    </w:p>
    <w:p w14:paraId="269DF9E6" w14:textId="77777777" w:rsidR="00C23B76" w:rsidRDefault="00C23B76">
      <w:pPr>
        <w:pStyle w:val="BodyText"/>
        <w:spacing w:before="5"/>
        <w:rPr>
          <w:i/>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C23B76" w14:paraId="269DFA0E" w14:textId="77777777">
        <w:trPr>
          <w:trHeight w:val="12632"/>
        </w:trPr>
        <w:tc>
          <w:tcPr>
            <w:tcW w:w="4676" w:type="dxa"/>
          </w:tcPr>
          <w:p w14:paraId="269DF9E7" w14:textId="77777777" w:rsidR="00C23B76" w:rsidRDefault="00C23B76">
            <w:pPr>
              <w:pStyle w:val="TableParagraph"/>
              <w:spacing w:before="11"/>
              <w:ind w:left="0"/>
              <w:rPr>
                <w:rFonts w:ascii="Calibri"/>
                <w:i/>
                <w:sz w:val="15"/>
              </w:rPr>
            </w:pPr>
          </w:p>
          <w:p w14:paraId="269DF9E8" w14:textId="77777777" w:rsidR="00C23B76" w:rsidRDefault="00D65794">
            <w:pPr>
              <w:pStyle w:val="TableParagraph"/>
              <w:numPr>
                <w:ilvl w:val="0"/>
                <w:numId w:val="17"/>
              </w:numPr>
              <w:tabs>
                <w:tab w:val="left" w:pos="467"/>
                <w:tab w:val="left" w:pos="468"/>
              </w:tabs>
              <w:ind w:right="153"/>
              <w:rPr>
                <w:rFonts w:ascii="Calibri" w:hAnsi="Calibri"/>
                <w:sz w:val="16"/>
              </w:rPr>
            </w:pPr>
            <w:r>
              <w:rPr>
                <w:rFonts w:ascii="Calibri" w:hAnsi="Calibri"/>
                <w:sz w:val="16"/>
              </w:rPr>
              <w:t>Creation of documents related to revenue processing, budget, expenses, payments, vendor and project-level reporting, requisitions, purchase orders, vouchers, payroll</w:t>
            </w:r>
            <w:r>
              <w:rPr>
                <w:rFonts w:ascii="Calibri" w:hAnsi="Calibri"/>
                <w:spacing w:val="-12"/>
                <w:sz w:val="16"/>
              </w:rPr>
              <w:t xml:space="preserve"> </w:t>
            </w:r>
            <w:r>
              <w:rPr>
                <w:rFonts w:ascii="Calibri" w:hAnsi="Calibri"/>
                <w:sz w:val="16"/>
              </w:rPr>
              <w:t>processing.</w:t>
            </w:r>
          </w:p>
          <w:p w14:paraId="269DF9E9" w14:textId="77777777" w:rsidR="00C23B76" w:rsidRDefault="00D65794">
            <w:pPr>
              <w:pStyle w:val="TableParagraph"/>
              <w:numPr>
                <w:ilvl w:val="0"/>
                <w:numId w:val="17"/>
              </w:numPr>
              <w:tabs>
                <w:tab w:val="left" w:pos="467"/>
                <w:tab w:val="left" w:pos="468"/>
              </w:tabs>
              <w:spacing w:before="1"/>
              <w:ind w:hanging="361"/>
              <w:rPr>
                <w:rFonts w:ascii="Calibri" w:hAnsi="Calibri"/>
                <w:sz w:val="16"/>
              </w:rPr>
            </w:pPr>
            <w:r>
              <w:rPr>
                <w:rFonts w:ascii="Calibri" w:hAnsi="Calibri"/>
                <w:sz w:val="16"/>
              </w:rPr>
              <w:t>Procurement of project-related goods and</w:t>
            </w:r>
            <w:r>
              <w:rPr>
                <w:rFonts w:ascii="Calibri" w:hAnsi="Calibri"/>
                <w:spacing w:val="-10"/>
                <w:sz w:val="16"/>
              </w:rPr>
              <w:t xml:space="preserve"> </w:t>
            </w:r>
            <w:r>
              <w:rPr>
                <w:rFonts w:ascii="Calibri" w:hAnsi="Calibri"/>
                <w:sz w:val="16"/>
              </w:rPr>
              <w:t>services.</w:t>
            </w:r>
          </w:p>
          <w:p w14:paraId="269DF9EA" w14:textId="77777777" w:rsidR="00C23B76" w:rsidRDefault="00D65794">
            <w:pPr>
              <w:pStyle w:val="TableParagraph"/>
              <w:numPr>
                <w:ilvl w:val="0"/>
                <w:numId w:val="17"/>
              </w:numPr>
              <w:tabs>
                <w:tab w:val="left" w:pos="467"/>
                <w:tab w:val="left" w:pos="468"/>
              </w:tabs>
              <w:ind w:right="138"/>
              <w:rPr>
                <w:rFonts w:ascii="Calibri" w:hAnsi="Calibri"/>
                <w:sz w:val="16"/>
              </w:rPr>
            </w:pPr>
            <w:r>
              <w:rPr>
                <w:rFonts w:ascii="Calibri" w:hAnsi="Calibri"/>
                <w:sz w:val="16"/>
              </w:rPr>
              <w:t>Human resources (HR) services: recruitment and management of project personnel (security and general administration briefings, trainings and learning</w:t>
            </w:r>
            <w:r>
              <w:rPr>
                <w:rFonts w:ascii="Calibri" w:hAnsi="Calibri"/>
                <w:spacing w:val="-4"/>
                <w:sz w:val="16"/>
              </w:rPr>
              <w:t xml:space="preserve"> </w:t>
            </w:r>
            <w:r>
              <w:rPr>
                <w:rFonts w:ascii="Calibri" w:hAnsi="Calibri"/>
                <w:sz w:val="16"/>
              </w:rPr>
              <w:t>tools)</w:t>
            </w:r>
          </w:p>
          <w:p w14:paraId="269DF9EB" w14:textId="77777777" w:rsidR="00C23B76" w:rsidRDefault="00D65794">
            <w:pPr>
              <w:pStyle w:val="TableParagraph"/>
              <w:numPr>
                <w:ilvl w:val="0"/>
                <w:numId w:val="17"/>
              </w:numPr>
              <w:tabs>
                <w:tab w:val="left" w:pos="467"/>
                <w:tab w:val="left" w:pos="468"/>
              </w:tabs>
              <w:spacing w:before="1"/>
              <w:ind w:hanging="361"/>
              <w:rPr>
                <w:rFonts w:ascii="Calibri" w:hAnsi="Calibri"/>
                <w:sz w:val="16"/>
              </w:rPr>
            </w:pPr>
            <w:r>
              <w:rPr>
                <w:rFonts w:ascii="Calibri" w:hAnsi="Calibri"/>
                <w:sz w:val="16"/>
              </w:rPr>
              <w:t>Logistics, travel and event</w:t>
            </w:r>
            <w:r>
              <w:rPr>
                <w:rFonts w:ascii="Calibri" w:hAnsi="Calibri"/>
                <w:spacing w:val="-4"/>
                <w:sz w:val="16"/>
              </w:rPr>
              <w:t xml:space="preserve"> </w:t>
            </w:r>
            <w:r>
              <w:rPr>
                <w:rFonts w:ascii="Calibri" w:hAnsi="Calibri"/>
                <w:sz w:val="16"/>
              </w:rPr>
              <w:t>management.</w:t>
            </w:r>
          </w:p>
          <w:p w14:paraId="269DF9EC" w14:textId="77777777" w:rsidR="00C23B76" w:rsidRDefault="00D65794">
            <w:pPr>
              <w:pStyle w:val="TableParagraph"/>
              <w:numPr>
                <w:ilvl w:val="0"/>
                <w:numId w:val="17"/>
              </w:numPr>
              <w:tabs>
                <w:tab w:val="left" w:pos="467"/>
                <w:tab w:val="left" w:pos="468"/>
              </w:tabs>
              <w:ind w:right="115"/>
              <w:rPr>
                <w:rFonts w:ascii="Calibri" w:hAnsi="Calibri"/>
                <w:sz w:val="16"/>
              </w:rPr>
            </w:pPr>
            <w:r>
              <w:rPr>
                <w:rFonts w:ascii="Calibri" w:hAnsi="Calibri"/>
                <w:sz w:val="16"/>
              </w:rPr>
              <w:t>Equipment and asset management services, including information technology (IT)</w:t>
            </w:r>
            <w:r>
              <w:rPr>
                <w:rFonts w:ascii="Calibri" w:hAnsi="Calibri"/>
                <w:spacing w:val="-28"/>
                <w:sz w:val="16"/>
              </w:rPr>
              <w:t xml:space="preserve"> </w:t>
            </w:r>
            <w:r>
              <w:rPr>
                <w:rFonts w:ascii="Calibri" w:hAnsi="Calibri"/>
                <w:sz w:val="16"/>
              </w:rPr>
              <w:t>equipment, maintenance, licenses, and project team and activities</w:t>
            </w:r>
            <w:r>
              <w:rPr>
                <w:rFonts w:ascii="Calibri" w:hAnsi="Calibri"/>
                <w:spacing w:val="-4"/>
                <w:sz w:val="16"/>
              </w:rPr>
              <w:t xml:space="preserve"> </w:t>
            </w:r>
            <w:r>
              <w:rPr>
                <w:rFonts w:ascii="Calibri" w:hAnsi="Calibri"/>
                <w:sz w:val="16"/>
              </w:rPr>
              <w:t>support.</w:t>
            </w:r>
          </w:p>
          <w:p w14:paraId="269DF9ED" w14:textId="77777777" w:rsidR="00C23B76" w:rsidRDefault="00C23B76">
            <w:pPr>
              <w:pStyle w:val="TableParagraph"/>
              <w:spacing w:before="11"/>
              <w:ind w:left="0"/>
              <w:rPr>
                <w:rFonts w:ascii="Calibri"/>
                <w:i/>
                <w:sz w:val="15"/>
              </w:rPr>
            </w:pPr>
          </w:p>
          <w:p w14:paraId="269DF9EE" w14:textId="77777777" w:rsidR="00C23B76" w:rsidRDefault="00D65794">
            <w:pPr>
              <w:pStyle w:val="TableParagraph"/>
              <w:ind w:right="101"/>
              <w:jc w:val="both"/>
              <w:rPr>
                <w:rFonts w:ascii="Calibri"/>
                <w:sz w:val="16"/>
              </w:rPr>
            </w:pPr>
            <w:r>
              <w:rPr>
                <w:rFonts w:ascii="Calibri"/>
                <w:sz w:val="16"/>
              </w:rPr>
              <w:t>Transactional services costs should be based on the Universal Price List (UPL) and/or Local Price List (LPL).</w:t>
            </w:r>
          </w:p>
          <w:p w14:paraId="269DF9EF" w14:textId="77777777" w:rsidR="00C23B76" w:rsidRDefault="00C23B76">
            <w:pPr>
              <w:pStyle w:val="TableParagraph"/>
              <w:spacing w:before="12"/>
              <w:ind w:left="0"/>
              <w:rPr>
                <w:rFonts w:ascii="Calibri"/>
                <w:i/>
                <w:sz w:val="15"/>
              </w:rPr>
            </w:pPr>
          </w:p>
          <w:p w14:paraId="269DF9F0" w14:textId="77777777" w:rsidR="00C23B76" w:rsidRDefault="00D65794">
            <w:pPr>
              <w:pStyle w:val="TableParagraph"/>
              <w:ind w:right="95"/>
              <w:jc w:val="both"/>
              <w:rPr>
                <w:rFonts w:ascii="Calibri"/>
                <w:sz w:val="16"/>
              </w:rPr>
            </w:pPr>
            <w:r>
              <w:rPr>
                <w:rFonts w:ascii="Calibri"/>
                <w:sz w:val="16"/>
                <w:u w:val="single"/>
              </w:rPr>
              <w:t>UNDP staff providing oversight services to the project activities (see</w:t>
            </w:r>
            <w:r>
              <w:rPr>
                <w:rFonts w:ascii="Calibri"/>
                <w:sz w:val="16"/>
              </w:rPr>
              <w:t xml:space="preserve"> </w:t>
            </w:r>
            <w:r>
              <w:rPr>
                <w:rFonts w:ascii="Calibri"/>
                <w:sz w:val="16"/>
                <w:u w:val="single"/>
              </w:rPr>
              <w:t>next column) cannot provide the above listed execution services in</w:t>
            </w:r>
            <w:r>
              <w:rPr>
                <w:rFonts w:ascii="Calibri"/>
                <w:sz w:val="16"/>
              </w:rPr>
              <w:t xml:space="preserve"> </w:t>
            </w:r>
            <w:r>
              <w:rPr>
                <w:rFonts w:ascii="Calibri"/>
                <w:sz w:val="16"/>
                <w:u w:val="single"/>
              </w:rPr>
              <w:t>order to avoid conflict of interest.</w:t>
            </w:r>
          </w:p>
          <w:p w14:paraId="269DF9F1" w14:textId="77777777" w:rsidR="00C23B76" w:rsidRDefault="00C23B76">
            <w:pPr>
              <w:pStyle w:val="TableParagraph"/>
              <w:spacing w:before="1"/>
              <w:ind w:left="0"/>
              <w:rPr>
                <w:rFonts w:ascii="Calibri"/>
                <w:i/>
                <w:sz w:val="16"/>
              </w:rPr>
            </w:pPr>
          </w:p>
          <w:p w14:paraId="269DF9F2" w14:textId="26EAF220" w:rsidR="00C23B76" w:rsidRDefault="00D65794">
            <w:pPr>
              <w:pStyle w:val="TableParagraph"/>
              <w:spacing w:before="1"/>
              <w:ind w:right="95"/>
              <w:jc w:val="both"/>
              <w:rPr>
                <w:rFonts w:ascii="Calibri"/>
                <w:sz w:val="16"/>
              </w:rPr>
            </w:pPr>
            <w:r>
              <w:rPr>
                <w:rFonts w:ascii="Calibri"/>
                <w:sz w:val="16"/>
              </w:rPr>
              <w:t>Total charge on support services must be capped at the GEF Approved budget level.</w:t>
            </w:r>
            <w:r w:rsidR="00E6523C">
              <w:rPr>
                <w:rFonts w:ascii="Calibri"/>
                <w:sz w:val="16"/>
              </w:rPr>
              <w:t xml:space="preserve"> </w:t>
            </w:r>
            <w:r>
              <w:rPr>
                <w:rFonts w:ascii="Calibri"/>
                <w:sz w:val="16"/>
              </w:rPr>
              <w:t>Any additional services (requested by the Implementing Partners) with a cost exceeding the approved budget, must be paid by non-GEF resources.</w:t>
            </w:r>
          </w:p>
        </w:tc>
        <w:tc>
          <w:tcPr>
            <w:tcW w:w="4676" w:type="dxa"/>
          </w:tcPr>
          <w:p w14:paraId="269DF9F3" w14:textId="77777777" w:rsidR="00C23B76" w:rsidRPr="00B96ED8" w:rsidRDefault="00D65794">
            <w:pPr>
              <w:pStyle w:val="TableParagraph"/>
              <w:ind w:right="98"/>
              <w:jc w:val="both"/>
              <w:rPr>
                <w:rFonts w:asciiTheme="minorHAnsi" w:hAnsiTheme="minorHAnsi" w:cstheme="minorHAnsi"/>
                <w:sz w:val="15"/>
                <w:szCs w:val="15"/>
              </w:rPr>
            </w:pPr>
            <w:r w:rsidRPr="00B96ED8">
              <w:rPr>
                <w:rFonts w:asciiTheme="minorHAnsi" w:hAnsiTheme="minorHAnsi" w:cstheme="minorHAnsi"/>
                <w:sz w:val="15"/>
                <w:szCs w:val="15"/>
              </w:rPr>
              <w:t>(viii) Coordinate with relevant stakeholders in formulating programs; prepare</w:t>
            </w:r>
            <w:r w:rsidRPr="00B96ED8">
              <w:rPr>
                <w:rFonts w:asciiTheme="minorHAnsi" w:hAnsiTheme="minorHAnsi" w:cstheme="minorHAnsi"/>
                <w:spacing w:val="-9"/>
                <w:sz w:val="15"/>
                <w:szCs w:val="15"/>
              </w:rPr>
              <w:t xml:space="preserve"> </w:t>
            </w:r>
            <w:r w:rsidRPr="00B96ED8">
              <w:rPr>
                <w:rFonts w:asciiTheme="minorHAnsi" w:hAnsiTheme="minorHAnsi" w:cstheme="minorHAnsi"/>
                <w:sz w:val="15"/>
                <w:szCs w:val="15"/>
              </w:rPr>
              <w:t>a</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Program</w:t>
            </w:r>
            <w:r w:rsidRPr="00B96ED8">
              <w:rPr>
                <w:rFonts w:asciiTheme="minorHAnsi" w:hAnsiTheme="minorHAnsi" w:cstheme="minorHAnsi"/>
                <w:spacing w:val="-7"/>
                <w:sz w:val="15"/>
                <w:szCs w:val="15"/>
              </w:rPr>
              <w:t xml:space="preserve"> </w:t>
            </w:r>
            <w:r w:rsidRPr="00B96ED8">
              <w:rPr>
                <w:rFonts w:asciiTheme="minorHAnsi" w:hAnsiTheme="minorHAnsi" w:cstheme="minorHAnsi"/>
                <w:sz w:val="15"/>
                <w:szCs w:val="15"/>
              </w:rPr>
              <w:t>Framework</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Document</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(PFD)</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for</w:t>
            </w:r>
            <w:r w:rsidRPr="00B96ED8">
              <w:rPr>
                <w:rFonts w:asciiTheme="minorHAnsi" w:hAnsiTheme="minorHAnsi" w:cstheme="minorHAnsi"/>
                <w:spacing w:val="-7"/>
                <w:sz w:val="15"/>
                <w:szCs w:val="15"/>
              </w:rPr>
              <w:t xml:space="preserve"> </w:t>
            </w:r>
            <w:r w:rsidRPr="00B96ED8">
              <w:rPr>
                <w:rFonts w:asciiTheme="minorHAnsi" w:hAnsiTheme="minorHAnsi" w:cstheme="minorHAnsi"/>
                <w:sz w:val="15"/>
                <w:szCs w:val="15"/>
              </w:rPr>
              <w:t>submission</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to</w:t>
            </w:r>
            <w:r w:rsidRPr="00B96ED8">
              <w:rPr>
                <w:rFonts w:asciiTheme="minorHAnsi" w:hAnsiTheme="minorHAnsi" w:cstheme="minorHAnsi"/>
                <w:spacing w:val="-8"/>
                <w:sz w:val="15"/>
                <w:szCs w:val="15"/>
              </w:rPr>
              <w:t xml:space="preserve"> </w:t>
            </w:r>
            <w:r w:rsidRPr="00B96ED8">
              <w:rPr>
                <w:rFonts w:asciiTheme="minorHAnsi" w:hAnsiTheme="minorHAnsi" w:cstheme="minorHAnsi"/>
                <w:sz w:val="15"/>
                <w:szCs w:val="15"/>
              </w:rPr>
              <w:t>the GEF Secretariat for work program entry and Council approval; implement the programs; monitor and report on progress of the programs,</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prepare</w:t>
            </w:r>
            <w:r w:rsidRPr="00B96ED8">
              <w:rPr>
                <w:rFonts w:asciiTheme="minorHAnsi" w:hAnsiTheme="minorHAnsi" w:cstheme="minorHAnsi"/>
                <w:spacing w:val="-11"/>
                <w:sz w:val="15"/>
                <w:szCs w:val="15"/>
              </w:rPr>
              <w:t xml:space="preserve"> </w:t>
            </w:r>
            <w:r w:rsidRPr="00B96ED8">
              <w:rPr>
                <w:rFonts w:asciiTheme="minorHAnsi" w:hAnsiTheme="minorHAnsi" w:cstheme="minorHAnsi"/>
                <w:sz w:val="15"/>
                <w:szCs w:val="15"/>
              </w:rPr>
              <w:t>and</w:t>
            </w:r>
            <w:r w:rsidRPr="00B96ED8">
              <w:rPr>
                <w:rFonts w:asciiTheme="minorHAnsi" w:hAnsiTheme="minorHAnsi" w:cstheme="minorHAnsi"/>
                <w:spacing w:val="-9"/>
                <w:sz w:val="15"/>
                <w:szCs w:val="15"/>
              </w:rPr>
              <w:t xml:space="preserve"> </w:t>
            </w:r>
            <w:r w:rsidRPr="00B96ED8">
              <w:rPr>
                <w:rFonts w:asciiTheme="minorHAnsi" w:hAnsiTheme="minorHAnsi" w:cstheme="minorHAnsi"/>
                <w:sz w:val="15"/>
                <w:szCs w:val="15"/>
              </w:rPr>
              <w:t>submit</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for</w:t>
            </w:r>
            <w:r w:rsidRPr="00B96ED8">
              <w:rPr>
                <w:rFonts w:asciiTheme="minorHAnsi" w:hAnsiTheme="minorHAnsi" w:cstheme="minorHAnsi"/>
                <w:spacing w:val="-11"/>
                <w:sz w:val="15"/>
                <w:szCs w:val="15"/>
              </w:rPr>
              <w:t xml:space="preserve"> </w:t>
            </w:r>
            <w:r w:rsidRPr="00B96ED8">
              <w:rPr>
                <w:rFonts w:asciiTheme="minorHAnsi" w:hAnsiTheme="minorHAnsi" w:cstheme="minorHAnsi"/>
                <w:sz w:val="15"/>
                <w:szCs w:val="15"/>
              </w:rPr>
              <w:t>approval</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all</w:t>
            </w:r>
            <w:r w:rsidRPr="00B96ED8">
              <w:rPr>
                <w:rFonts w:asciiTheme="minorHAnsi" w:hAnsiTheme="minorHAnsi" w:cstheme="minorHAnsi"/>
                <w:spacing w:val="-11"/>
                <w:sz w:val="15"/>
                <w:szCs w:val="15"/>
              </w:rPr>
              <w:t xml:space="preserve"> </w:t>
            </w:r>
            <w:r w:rsidRPr="00B96ED8">
              <w:rPr>
                <w:rFonts w:asciiTheme="minorHAnsi" w:hAnsiTheme="minorHAnsi" w:cstheme="minorHAnsi"/>
                <w:sz w:val="15"/>
                <w:szCs w:val="15"/>
              </w:rPr>
              <w:t>Child</w:t>
            </w:r>
            <w:r w:rsidRPr="00B96ED8">
              <w:rPr>
                <w:rFonts w:asciiTheme="minorHAnsi" w:hAnsiTheme="minorHAnsi" w:cstheme="minorHAnsi"/>
                <w:spacing w:val="-8"/>
                <w:sz w:val="15"/>
                <w:szCs w:val="15"/>
              </w:rPr>
              <w:t xml:space="preserve"> </w:t>
            </w:r>
            <w:r w:rsidRPr="00B96ED8">
              <w:rPr>
                <w:rFonts w:asciiTheme="minorHAnsi" w:hAnsiTheme="minorHAnsi" w:cstheme="minorHAnsi"/>
                <w:sz w:val="15"/>
                <w:szCs w:val="15"/>
              </w:rPr>
              <w:t>Projects</w:t>
            </w:r>
            <w:r w:rsidRPr="00B96ED8">
              <w:rPr>
                <w:rFonts w:asciiTheme="minorHAnsi" w:hAnsiTheme="minorHAnsi" w:cstheme="minorHAnsi"/>
                <w:spacing w:val="-12"/>
                <w:sz w:val="15"/>
                <w:szCs w:val="15"/>
              </w:rPr>
              <w:t xml:space="preserve"> </w:t>
            </w:r>
            <w:r w:rsidRPr="00B96ED8">
              <w:rPr>
                <w:rFonts w:asciiTheme="minorHAnsi" w:hAnsiTheme="minorHAnsi" w:cstheme="minorHAnsi"/>
                <w:sz w:val="15"/>
                <w:szCs w:val="15"/>
              </w:rPr>
              <w:t>under</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the program; complete implementation of all Child Projects under the program.</w:t>
            </w:r>
          </w:p>
          <w:p w14:paraId="269DF9F4" w14:textId="77777777" w:rsidR="00C23B76" w:rsidRPr="00B96ED8" w:rsidRDefault="00D65794">
            <w:pPr>
              <w:pStyle w:val="TableParagraph"/>
              <w:spacing w:before="120"/>
              <w:jc w:val="both"/>
              <w:rPr>
                <w:rFonts w:asciiTheme="minorHAnsi" w:hAnsiTheme="minorHAnsi" w:cstheme="minorHAnsi"/>
                <w:b/>
                <w:sz w:val="15"/>
                <w:szCs w:val="15"/>
              </w:rPr>
            </w:pPr>
            <w:r w:rsidRPr="00B96ED8">
              <w:rPr>
                <w:rFonts w:asciiTheme="minorHAnsi" w:hAnsiTheme="minorHAnsi" w:cstheme="minorHAnsi"/>
                <w:b/>
                <w:sz w:val="15"/>
                <w:szCs w:val="15"/>
              </w:rPr>
              <w:t>(d) Project Approval and Start-up</w:t>
            </w:r>
          </w:p>
          <w:p w14:paraId="269DF9F5" w14:textId="77777777" w:rsidR="00C23B76" w:rsidRPr="00B96ED8" w:rsidRDefault="00D65794">
            <w:pPr>
              <w:pStyle w:val="TableParagraph"/>
              <w:numPr>
                <w:ilvl w:val="0"/>
                <w:numId w:val="16"/>
              </w:numPr>
              <w:tabs>
                <w:tab w:val="left" w:pos="393"/>
              </w:tabs>
              <w:spacing w:before="116"/>
              <w:ind w:right="95" w:firstLine="0"/>
              <w:jc w:val="both"/>
              <w:rPr>
                <w:rFonts w:asciiTheme="minorHAnsi" w:hAnsiTheme="minorHAnsi" w:cstheme="minorHAnsi"/>
                <w:sz w:val="15"/>
                <w:szCs w:val="15"/>
              </w:rPr>
            </w:pPr>
            <w:r w:rsidRPr="00B96ED8">
              <w:rPr>
                <w:rFonts w:asciiTheme="minorHAnsi" w:hAnsiTheme="minorHAnsi" w:cstheme="minorHAnsi"/>
                <w:sz w:val="15"/>
                <w:szCs w:val="15"/>
              </w:rPr>
              <w:t>Appraise the project and finalize project implementation arrangements, including mission</w:t>
            </w:r>
            <w:r w:rsidRPr="00B96ED8">
              <w:rPr>
                <w:rFonts w:asciiTheme="minorHAnsi" w:hAnsiTheme="minorHAnsi" w:cstheme="minorHAnsi"/>
                <w:spacing w:val="-4"/>
                <w:sz w:val="15"/>
                <w:szCs w:val="15"/>
              </w:rPr>
              <w:t xml:space="preserve"> </w:t>
            </w:r>
            <w:r w:rsidRPr="00B96ED8">
              <w:rPr>
                <w:rFonts w:asciiTheme="minorHAnsi" w:hAnsiTheme="minorHAnsi" w:cstheme="minorHAnsi"/>
                <w:sz w:val="15"/>
                <w:szCs w:val="15"/>
              </w:rPr>
              <w:t>travel.</w:t>
            </w:r>
          </w:p>
          <w:p w14:paraId="269DF9F6" w14:textId="77777777" w:rsidR="00C23B76" w:rsidRPr="00B96ED8" w:rsidRDefault="00D65794">
            <w:pPr>
              <w:pStyle w:val="TableParagraph"/>
              <w:numPr>
                <w:ilvl w:val="0"/>
                <w:numId w:val="16"/>
              </w:numPr>
              <w:tabs>
                <w:tab w:val="left" w:pos="359"/>
              </w:tabs>
              <w:spacing w:before="119"/>
              <w:ind w:right="102" w:firstLine="0"/>
              <w:jc w:val="both"/>
              <w:rPr>
                <w:rFonts w:asciiTheme="minorHAnsi" w:hAnsiTheme="minorHAnsi" w:cstheme="minorHAnsi"/>
                <w:sz w:val="15"/>
                <w:szCs w:val="15"/>
              </w:rPr>
            </w:pPr>
            <w:r w:rsidRPr="00B96ED8">
              <w:rPr>
                <w:rFonts w:asciiTheme="minorHAnsi" w:hAnsiTheme="minorHAnsi" w:cstheme="minorHAnsi"/>
                <w:sz w:val="15"/>
                <w:szCs w:val="15"/>
              </w:rPr>
              <w:t>Prepare legal and other documentation for approval by the GEF Agency approval</w:t>
            </w:r>
            <w:r w:rsidRPr="00B96ED8">
              <w:rPr>
                <w:rFonts w:asciiTheme="minorHAnsi" w:hAnsiTheme="minorHAnsi" w:cstheme="minorHAnsi"/>
                <w:spacing w:val="-5"/>
                <w:sz w:val="15"/>
                <w:szCs w:val="15"/>
              </w:rPr>
              <w:t xml:space="preserve"> </w:t>
            </w:r>
            <w:r w:rsidRPr="00B96ED8">
              <w:rPr>
                <w:rFonts w:asciiTheme="minorHAnsi" w:hAnsiTheme="minorHAnsi" w:cstheme="minorHAnsi"/>
                <w:sz w:val="15"/>
                <w:szCs w:val="15"/>
              </w:rPr>
              <w:t>authority.</w:t>
            </w:r>
          </w:p>
          <w:p w14:paraId="269DF9F7" w14:textId="77777777" w:rsidR="00C23B76" w:rsidRPr="00B96ED8" w:rsidRDefault="00D65794">
            <w:pPr>
              <w:pStyle w:val="TableParagraph"/>
              <w:numPr>
                <w:ilvl w:val="0"/>
                <w:numId w:val="16"/>
              </w:numPr>
              <w:tabs>
                <w:tab w:val="left" w:pos="410"/>
              </w:tabs>
              <w:spacing w:before="122"/>
              <w:ind w:right="101" w:firstLine="0"/>
              <w:jc w:val="both"/>
              <w:rPr>
                <w:rFonts w:asciiTheme="minorHAnsi" w:hAnsiTheme="minorHAnsi" w:cstheme="minorHAnsi"/>
                <w:sz w:val="15"/>
                <w:szCs w:val="15"/>
              </w:rPr>
            </w:pPr>
            <w:r w:rsidRPr="00B96ED8">
              <w:rPr>
                <w:rFonts w:asciiTheme="minorHAnsi" w:hAnsiTheme="minorHAnsi" w:cstheme="minorHAnsi"/>
                <w:sz w:val="15"/>
                <w:szCs w:val="15"/>
              </w:rPr>
              <w:t>Advise the project proponent on the establishment of a project management structure in the recipient</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country/countries.</w:t>
            </w:r>
          </w:p>
          <w:p w14:paraId="269DF9F8" w14:textId="77777777" w:rsidR="00C23B76" w:rsidRPr="00B96ED8" w:rsidRDefault="00D65794">
            <w:pPr>
              <w:pStyle w:val="TableParagraph"/>
              <w:numPr>
                <w:ilvl w:val="0"/>
                <w:numId w:val="16"/>
              </w:numPr>
              <w:tabs>
                <w:tab w:val="left" w:pos="417"/>
              </w:tabs>
              <w:spacing w:before="119"/>
              <w:ind w:right="97" w:firstLine="0"/>
              <w:jc w:val="both"/>
              <w:rPr>
                <w:rFonts w:asciiTheme="minorHAnsi" w:hAnsiTheme="minorHAnsi" w:cstheme="minorHAnsi"/>
                <w:sz w:val="15"/>
                <w:szCs w:val="15"/>
              </w:rPr>
            </w:pPr>
            <w:r w:rsidRPr="00B96ED8">
              <w:rPr>
                <w:rFonts w:asciiTheme="minorHAnsi" w:hAnsiTheme="minorHAnsi" w:cstheme="minorHAnsi"/>
                <w:sz w:val="15"/>
                <w:szCs w:val="15"/>
              </w:rPr>
              <w:t>Assist project management to draft TORs and advise on the selection of experts for</w:t>
            </w:r>
            <w:r w:rsidRPr="00B96ED8">
              <w:rPr>
                <w:rFonts w:asciiTheme="minorHAnsi" w:hAnsiTheme="minorHAnsi" w:cstheme="minorHAnsi"/>
                <w:spacing w:val="-3"/>
                <w:sz w:val="15"/>
                <w:szCs w:val="15"/>
              </w:rPr>
              <w:t xml:space="preserve"> </w:t>
            </w:r>
            <w:r w:rsidRPr="00B96ED8">
              <w:rPr>
                <w:rFonts w:asciiTheme="minorHAnsi" w:hAnsiTheme="minorHAnsi" w:cstheme="minorHAnsi"/>
                <w:sz w:val="15"/>
                <w:szCs w:val="15"/>
              </w:rPr>
              <w:t>implementation.</w:t>
            </w:r>
          </w:p>
          <w:p w14:paraId="269DF9F9" w14:textId="77777777" w:rsidR="00C23B76" w:rsidRPr="00B96ED8" w:rsidRDefault="00D65794">
            <w:pPr>
              <w:pStyle w:val="TableParagraph"/>
              <w:numPr>
                <w:ilvl w:val="0"/>
                <w:numId w:val="16"/>
              </w:numPr>
              <w:tabs>
                <w:tab w:val="left" w:pos="336"/>
              </w:tabs>
              <w:spacing w:before="123"/>
              <w:ind w:left="335" w:hanging="229"/>
              <w:jc w:val="both"/>
              <w:rPr>
                <w:rFonts w:asciiTheme="minorHAnsi" w:hAnsiTheme="minorHAnsi" w:cstheme="minorHAnsi"/>
                <w:sz w:val="15"/>
                <w:szCs w:val="15"/>
              </w:rPr>
            </w:pPr>
            <w:r w:rsidRPr="00B96ED8">
              <w:rPr>
                <w:rFonts w:asciiTheme="minorHAnsi" w:hAnsiTheme="minorHAnsi" w:cstheme="minorHAnsi"/>
                <w:sz w:val="15"/>
                <w:szCs w:val="15"/>
              </w:rPr>
              <w:t>Advise on and participate in project start-up</w:t>
            </w:r>
            <w:r w:rsidRPr="00B96ED8">
              <w:rPr>
                <w:rFonts w:asciiTheme="minorHAnsi" w:hAnsiTheme="minorHAnsi" w:cstheme="minorHAnsi"/>
                <w:spacing w:val="-9"/>
                <w:sz w:val="15"/>
                <w:szCs w:val="15"/>
              </w:rPr>
              <w:t xml:space="preserve"> </w:t>
            </w:r>
            <w:r w:rsidRPr="00B96ED8">
              <w:rPr>
                <w:rFonts w:asciiTheme="minorHAnsi" w:hAnsiTheme="minorHAnsi" w:cstheme="minorHAnsi"/>
                <w:sz w:val="15"/>
                <w:szCs w:val="15"/>
              </w:rPr>
              <w:t>workshop.</w:t>
            </w:r>
          </w:p>
          <w:p w14:paraId="269DF9FA" w14:textId="77777777" w:rsidR="00C23B76" w:rsidRPr="00B96ED8" w:rsidRDefault="00D65794">
            <w:pPr>
              <w:pStyle w:val="TableParagraph"/>
              <w:spacing w:before="120"/>
              <w:jc w:val="both"/>
              <w:rPr>
                <w:rFonts w:asciiTheme="minorHAnsi" w:hAnsiTheme="minorHAnsi" w:cstheme="minorHAnsi"/>
                <w:b/>
                <w:sz w:val="15"/>
                <w:szCs w:val="15"/>
              </w:rPr>
            </w:pPr>
            <w:r w:rsidRPr="00B96ED8">
              <w:rPr>
                <w:rFonts w:asciiTheme="minorHAnsi" w:hAnsiTheme="minorHAnsi" w:cstheme="minorHAnsi"/>
                <w:b/>
                <w:sz w:val="15"/>
                <w:szCs w:val="15"/>
              </w:rPr>
              <w:t>(e) Project implementation and supervision</w:t>
            </w:r>
          </w:p>
          <w:p w14:paraId="269DF9FB" w14:textId="77777777" w:rsidR="00C23B76" w:rsidRPr="00B96ED8" w:rsidRDefault="00D65794">
            <w:pPr>
              <w:pStyle w:val="TableParagraph"/>
              <w:numPr>
                <w:ilvl w:val="0"/>
                <w:numId w:val="15"/>
              </w:numPr>
              <w:tabs>
                <w:tab w:val="left" w:pos="345"/>
              </w:tabs>
              <w:spacing w:before="119"/>
              <w:ind w:right="96" w:firstLine="0"/>
              <w:jc w:val="both"/>
              <w:rPr>
                <w:rFonts w:asciiTheme="minorHAnsi" w:hAnsiTheme="minorHAnsi" w:cstheme="minorHAnsi"/>
                <w:sz w:val="15"/>
                <w:szCs w:val="15"/>
              </w:rPr>
            </w:pPr>
            <w:r w:rsidRPr="00B96ED8">
              <w:rPr>
                <w:rFonts w:asciiTheme="minorHAnsi" w:hAnsiTheme="minorHAnsi" w:cstheme="minorHAnsi"/>
                <w:sz w:val="15"/>
                <w:szCs w:val="15"/>
              </w:rPr>
              <w:t>Conduct at least one supervision mission per year, including briefing operational focal points on project</w:t>
            </w:r>
            <w:r w:rsidRPr="00B96ED8">
              <w:rPr>
                <w:rFonts w:asciiTheme="minorHAnsi" w:hAnsiTheme="minorHAnsi" w:cstheme="minorHAnsi"/>
                <w:spacing w:val="-8"/>
                <w:sz w:val="15"/>
                <w:szCs w:val="15"/>
              </w:rPr>
              <w:t xml:space="preserve"> </w:t>
            </w:r>
            <w:r w:rsidRPr="00B96ED8">
              <w:rPr>
                <w:rFonts w:asciiTheme="minorHAnsi" w:hAnsiTheme="minorHAnsi" w:cstheme="minorHAnsi"/>
                <w:sz w:val="15"/>
                <w:szCs w:val="15"/>
              </w:rPr>
              <w:t>progress.</w:t>
            </w:r>
          </w:p>
          <w:p w14:paraId="269DF9FC" w14:textId="77777777" w:rsidR="00C23B76" w:rsidRPr="00B96ED8" w:rsidRDefault="00D65794">
            <w:pPr>
              <w:pStyle w:val="TableParagraph"/>
              <w:numPr>
                <w:ilvl w:val="0"/>
                <w:numId w:val="15"/>
              </w:numPr>
              <w:tabs>
                <w:tab w:val="left" w:pos="468"/>
              </w:tabs>
              <w:spacing w:before="119"/>
              <w:ind w:right="102" w:firstLine="0"/>
              <w:jc w:val="both"/>
              <w:rPr>
                <w:rFonts w:asciiTheme="minorHAnsi" w:hAnsiTheme="minorHAnsi" w:cstheme="minorHAnsi"/>
                <w:sz w:val="15"/>
                <w:szCs w:val="15"/>
              </w:rPr>
            </w:pPr>
            <w:r w:rsidRPr="00B96ED8">
              <w:rPr>
                <w:rFonts w:asciiTheme="minorHAnsi" w:hAnsiTheme="minorHAnsi" w:cstheme="minorHAnsi"/>
                <w:sz w:val="15"/>
                <w:szCs w:val="15"/>
              </w:rPr>
              <w:t>Provide technical guidance, as necessary, for project implementation.</w:t>
            </w:r>
          </w:p>
          <w:p w14:paraId="269DF9FD" w14:textId="77777777" w:rsidR="00C23B76" w:rsidRPr="00B96ED8" w:rsidRDefault="00D65794">
            <w:pPr>
              <w:pStyle w:val="TableParagraph"/>
              <w:numPr>
                <w:ilvl w:val="0"/>
                <w:numId w:val="15"/>
              </w:numPr>
              <w:tabs>
                <w:tab w:val="left" w:pos="415"/>
              </w:tabs>
              <w:spacing w:before="119"/>
              <w:ind w:right="98" w:firstLine="0"/>
              <w:jc w:val="both"/>
              <w:rPr>
                <w:rFonts w:asciiTheme="minorHAnsi" w:hAnsiTheme="minorHAnsi" w:cstheme="minorHAnsi"/>
                <w:sz w:val="15"/>
                <w:szCs w:val="15"/>
              </w:rPr>
            </w:pPr>
            <w:r w:rsidRPr="00B96ED8">
              <w:rPr>
                <w:rFonts w:asciiTheme="minorHAnsi" w:hAnsiTheme="minorHAnsi" w:cstheme="minorHAnsi"/>
                <w:sz w:val="15"/>
                <w:szCs w:val="15"/>
              </w:rPr>
              <w:t>As necessary, include technical consultants during supervision missions to advise government officials on technical matters and provide technical assistance for the project as</w:t>
            </w:r>
            <w:r w:rsidRPr="00B96ED8">
              <w:rPr>
                <w:rFonts w:asciiTheme="minorHAnsi" w:hAnsiTheme="minorHAnsi" w:cstheme="minorHAnsi"/>
                <w:spacing w:val="-14"/>
                <w:sz w:val="15"/>
                <w:szCs w:val="15"/>
              </w:rPr>
              <w:t xml:space="preserve"> </w:t>
            </w:r>
            <w:r w:rsidRPr="00B96ED8">
              <w:rPr>
                <w:rFonts w:asciiTheme="minorHAnsi" w:hAnsiTheme="minorHAnsi" w:cstheme="minorHAnsi"/>
                <w:sz w:val="15"/>
                <w:szCs w:val="15"/>
              </w:rPr>
              <w:t>needed.</w:t>
            </w:r>
          </w:p>
          <w:p w14:paraId="269DF9FE" w14:textId="77777777" w:rsidR="00C23B76" w:rsidRPr="00B96ED8" w:rsidRDefault="00D65794">
            <w:pPr>
              <w:pStyle w:val="TableParagraph"/>
              <w:numPr>
                <w:ilvl w:val="0"/>
                <w:numId w:val="15"/>
              </w:numPr>
              <w:tabs>
                <w:tab w:val="left" w:pos="446"/>
              </w:tabs>
              <w:spacing w:before="120"/>
              <w:ind w:right="98" w:firstLine="0"/>
              <w:jc w:val="both"/>
              <w:rPr>
                <w:rFonts w:asciiTheme="minorHAnsi" w:hAnsiTheme="minorHAnsi" w:cstheme="minorHAnsi"/>
                <w:sz w:val="15"/>
                <w:szCs w:val="15"/>
              </w:rPr>
            </w:pPr>
            <w:r w:rsidRPr="00B96ED8">
              <w:rPr>
                <w:rFonts w:asciiTheme="minorHAnsi" w:hAnsiTheme="minorHAnsi" w:cstheme="minorHAnsi"/>
                <w:sz w:val="15"/>
                <w:szCs w:val="15"/>
              </w:rPr>
              <w:t>Oversee procurement and financial management to ensure implementation is in line with Agency policies and</w:t>
            </w:r>
            <w:r w:rsidRPr="00B96ED8">
              <w:rPr>
                <w:rFonts w:asciiTheme="minorHAnsi" w:hAnsiTheme="minorHAnsi" w:cstheme="minorHAnsi"/>
                <w:spacing w:val="-14"/>
                <w:sz w:val="15"/>
                <w:szCs w:val="15"/>
              </w:rPr>
              <w:t xml:space="preserve"> </w:t>
            </w:r>
            <w:r w:rsidRPr="00B96ED8">
              <w:rPr>
                <w:rFonts w:asciiTheme="minorHAnsi" w:hAnsiTheme="minorHAnsi" w:cstheme="minorHAnsi"/>
                <w:sz w:val="15"/>
                <w:szCs w:val="15"/>
              </w:rPr>
              <w:t>timeline.</w:t>
            </w:r>
          </w:p>
          <w:p w14:paraId="269DF9FF" w14:textId="77777777" w:rsidR="00C23B76" w:rsidRPr="00B96ED8" w:rsidRDefault="00D65794">
            <w:pPr>
              <w:pStyle w:val="TableParagraph"/>
              <w:numPr>
                <w:ilvl w:val="0"/>
                <w:numId w:val="15"/>
              </w:numPr>
              <w:tabs>
                <w:tab w:val="left" w:pos="333"/>
              </w:tabs>
              <w:spacing w:before="122"/>
              <w:ind w:left="332" w:hanging="226"/>
              <w:jc w:val="both"/>
              <w:rPr>
                <w:rFonts w:asciiTheme="minorHAnsi" w:hAnsiTheme="minorHAnsi" w:cstheme="minorHAnsi"/>
                <w:sz w:val="15"/>
                <w:szCs w:val="15"/>
              </w:rPr>
            </w:pPr>
            <w:r w:rsidRPr="00B96ED8">
              <w:rPr>
                <w:rFonts w:asciiTheme="minorHAnsi" w:hAnsiTheme="minorHAnsi" w:cstheme="minorHAnsi"/>
                <w:sz w:val="15"/>
                <w:szCs w:val="15"/>
              </w:rPr>
              <w:t>Disburse funds to the EA and review financial</w:t>
            </w:r>
            <w:r w:rsidRPr="00B96ED8">
              <w:rPr>
                <w:rFonts w:asciiTheme="minorHAnsi" w:hAnsiTheme="minorHAnsi" w:cstheme="minorHAnsi"/>
                <w:spacing w:val="-16"/>
                <w:sz w:val="15"/>
                <w:szCs w:val="15"/>
              </w:rPr>
              <w:t xml:space="preserve"> </w:t>
            </w:r>
            <w:r w:rsidRPr="00B96ED8">
              <w:rPr>
                <w:rFonts w:asciiTheme="minorHAnsi" w:hAnsiTheme="minorHAnsi" w:cstheme="minorHAnsi"/>
                <w:sz w:val="15"/>
                <w:szCs w:val="15"/>
              </w:rPr>
              <w:t>reports.</w:t>
            </w:r>
          </w:p>
          <w:p w14:paraId="269DFA00" w14:textId="77777777" w:rsidR="00C23B76" w:rsidRPr="00B96ED8" w:rsidRDefault="00D65794">
            <w:pPr>
              <w:pStyle w:val="TableParagraph"/>
              <w:numPr>
                <w:ilvl w:val="0"/>
                <w:numId w:val="15"/>
              </w:numPr>
              <w:tabs>
                <w:tab w:val="left" w:pos="384"/>
              </w:tabs>
              <w:spacing w:before="118"/>
              <w:ind w:right="97" w:firstLine="0"/>
              <w:jc w:val="both"/>
              <w:rPr>
                <w:rFonts w:asciiTheme="minorHAnsi" w:hAnsiTheme="minorHAnsi" w:cstheme="minorHAnsi"/>
                <w:sz w:val="15"/>
                <w:szCs w:val="15"/>
              </w:rPr>
            </w:pPr>
            <w:r w:rsidRPr="00B96ED8">
              <w:rPr>
                <w:rFonts w:asciiTheme="minorHAnsi" w:hAnsiTheme="minorHAnsi" w:cstheme="minorHAnsi"/>
                <w:sz w:val="15"/>
                <w:szCs w:val="15"/>
              </w:rPr>
              <w:t>Oversee the preparation of the required reports for submission to the GEF</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Secretariat.</w:t>
            </w:r>
          </w:p>
          <w:p w14:paraId="269DFA01" w14:textId="77777777" w:rsidR="00C23B76" w:rsidRPr="00B96ED8" w:rsidRDefault="00D65794">
            <w:pPr>
              <w:pStyle w:val="TableParagraph"/>
              <w:numPr>
                <w:ilvl w:val="0"/>
                <w:numId w:val="15"/>
              </w:numPr>
              <w:tabs>
                <w:tab w:val="left" w:pos="424"/>
              </w:tabs>
              <w:spacing w:before="122"/>
              <w:ind w:left="423" w:hanging="317"/>
              <w:jc w:val="both"/>
              <w:rPr>
                <w:rFonts w:asciiTheme="minorHAnsi" w:hAnsiTheme="minorHAnsi" w:cstheme="minorHAnsi"/>
                <w:sz w:val="15"/>
                <w:szCs w:val="15"/>
              </w:rPr>
            </w:pPr>
            <w:r w:rsidRPr="00B96ED8">
              <w:rPr>
                <w:rFonts w:asciiTheme="minorHAnsi" w:hAnsiTheme="minorHAnsi" w:cstheme="minorHAnsi"/>
                <w:sz w:val="15"/>
                <w:szCs w:val="15"/>
              </w:rPr>
              <w:t>Monitor and review project expenditure</w:t>
            </w:r>
            <w:r w:rsidRPr="00B96ED8">
              <w:rPr>
                <w:rFonts w:asciiTheme="minorHAnsi" w:hAnsiTheme="minorHAnsi" w:cstheme="minorHAnsi"/>
                <w:spacing w:val="-8"/>
                <w:sz w:val="15"/>
                <w:szCs w:val="15"/>
              </w:rPr>
              <w:t xml:space="preserve"> </w:t>
            </w:r>
            <w:r w:rsidRPr="00B96ED8">
              <w:rPr>
                <w:rFonts w:asciiTheme="minorHAnsi" w:hAnsiTheme="minorHAnsi" w:cstheme="minorHAnsi"/>
                <w:sz w:val="15"/>
                <w:szCs w:val="15"/>
              </w:rPr>
              <w:t>reports.</w:t>
            </w:r>
          </w:p>
          <w:p w14:paraId="269DFA02" w14:textId="77777777" w:rsidR="00C23B76" w:rsidRPr="00B96ED8" w:rsidRDefault="00D65794">
            <w:pPr>
              <w:pStyle w:val="TableParagraph"/>
              <w:numPr>
                <w:ilvl w:val="0"/>
                <w:numId w:val="15"/>
              </w:numPr>
              <w:tabs>
                <w:tab w:val="left" w:pos="477"/>
              </w:tabs>
              <w:spacing w:before="119"/>
              <w:ind w:right="102" w:firstLine="0"/>
              <w:jc w:val="both"/>
              <w:rPr>
                <w:rFonts w:asciiTheme="minorHAnsi" w:hAnsiTheme="minorHAnsi" w:cstheme="minorHAnsi"/>
                <w:sz w:val="15"/>
                <w:szCs w:val="15"/>
              </w:rPr>
            </w:pPr>
            <w:r w:rsidRPr="00B96ED8">
              <w:rPr>
                <w:rFonts w:asciiTheme="minorHAnsi" w:hAnsiTheme="minorHAnsi" w:cstheme="minorHAnsi"/>
                <w:sz w:val="15"/>
                <w:szCs w:val="15"/>
              </w:rPr>
              <w:t>Prepare periodic revisions to reflect changes in annual expense category</w:t>
            </w:r>
            <w:r w:rsidRPr="00B96ED8">
              <w:rPr>
                <w:rFonts w:asciiTheme="minorHAnsi" w:hAnsiTheme="minorHAnsi" w:cstheme="minorHAnsi"/>
                <w:spacing w:val="-4"/>
                <w:sz w:val="15"/>
                <w:szCs w:val="15"/>
              </w:rPr>
              <w:t xml:space="preserve"> </w:t>
            </w:r>
            <w:r w:rsidRPr="00B96ED8">
              <w:rPr>
                <w:rFonts w:asciiTheme="minorHAnsi" w:hAnsiTheme="minorHAnsi" w:cstheme="minorHAnsi"/>
                <w:sz w:val="15"/>
                <w:szCs w:val="15"/>
              </w:rPr>
              <w:t>budgets.</w:t>
            </w:r>
          </w:p>
          <w:p w14:paraId="269DFA03" w14:textId="77777777" w:rsidR="00C23B76" w:rsidRPr="00B96ED8" w:rsidRDefault="00D65794">
            <w:pPr>
              <w:pStyle w:val="TableParagraph"/>
              <w:numPr>
                <w:ilvl w:val="0"/>
                <w:numId w:val="15"/>
              </w:numPr>
              <w:tabs>
                <w:tab w:val="left" w:pos="441"/>
              </w:tabs>
              <w:spacing w:before="121"/>
              <w:ind w:right="97" w:firstLine="0"/>
              <w:jc w:val="both"/>
              <w:rPr>
                <w:rFonts w:asciiTheme="minorHAnsi" w:hAnsiTheme="minorHAnsi" w:cstheme="minorHAnsi"/>
                <w:sz w:val="15"/>
                <w:szCs w:val="15"/>
              </w:rPr>
            </w:pPr>
            <w:r w:rsidRPr="00B96ED8">
              <w:rPr>
                <w:rFonts w:asciiTheme="minorHAnsi" w:hAnsiTheme="minorHAnsi" w:cstheme="minorHAnsi"/>
                <w:sz w:val="15"/>
                <w:szCs w:val="15"/>
              </w:rPr>
              <w:t>Undertake the mid-term review, including possible project restructuring. Send a copy to the GEF</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Secretariat.</w:t>
            </w:r>
          </w:p>
          <w:p w14:paraId="269DFA04" w14:textId="77777777" w:rsidR="00C23B76" w:rsidRPr="00B96ED8" w:rsidRDefault="00D65794">
            <w:pPr>
              <w:pStyle w:val="TableParagraph"/>
              <w:spacing w:before="122"/>
              <w:jc w:val="both"/>
              <w:rPr>
                <w:rFonts w:asciiTheme="minorHAnsi" w:hAnsiTheme="minorHAnsi" w:cstheme="minorHAnsi"/>
                <w:b/>
                <w:sz w:val="15"/>
                <w:szCs w:val="15"/>
              </w:rPr>
            </w:pPr>
            <w:r w:rsidRPr="00B96ED8">
              <w:rPr>
                <w:rFonts w:asciiTheme="minorHAnsi" w:hAnsiTheme="minorHAnsi" w:cstheme="minorHAnsi"/>
                <w:b/>
                <w:sz w:val="15"/>
                <w:szCs w:val="15"/>
              </w:rPr>
              <w:t>(f) Project completion and evaluation</w:t>
            </w:r>
          </w:p>
          <w:p w14:paraId="269DFA05" w14:textId="77777777" w:rsidR="00C23B76" w:rsidRPr="00B96ED8" w:rsidRDefault="00D65794">
            <w:pPr>
              <w:pStyle w:val="TableParagraph"/>
              <w:numPr>
                <w:ilvl w:val="0"/>
                <w:numId w:val="14"/>
              </w:numPr>
              <w:tabs>
                <w:tab w:val="left" w:pos="448"/>
              </w:tabs>
              <w:spacing w:before="118"/>
              <w:ind w:right="93" w:firstLine="0"/>
              <w:jc w:val="both"/>
              <w:rPr>
                <w:rFonts w:asciiTheme="minorHAnsi" w:hAnsiTheme="minorHAnsi" w:cstheme="minorHAnsi"/>
                <w:sz w:val="15"/>
                <w:szCs w:val="15"/>
              </w:rPr>
            </w:pPr>
            <w:r w:rsidRPr="00B96ED8">
              <w:rPr>
                <w:rFonts w:asciiTheme="minorHAnsi" w:hAnsiTheme="minorHAnsi" w:cstheme="minorHAnsi"/>
                <w:sz w:val="15"/>
                <w:szCs w:val="15"/>
              </w:rPr>
              <w:t>Oversee the preparation of the Project Completion Report/Independent Terminal Evaluation, submit the report to the GEFIEO and send a copy to the GEF</w:t>
            </w:r>
            <w:r w:rsidRPr="00B96ED8">
              <w:rPr>
                <w:rFonts w:asciiTheme="minorHAnsi" w:hAnsiTheme="minorHAnsi" w:cstheme="minorHAnsi"/>
                <w:spacing w:val="-14"/>
                <w:sz w:val="15"/>
                <w:szCs w:val="15"/>
              </w:rPr>
              <w:t xml:space="preserve"> </w:t>
            </w:r>
            <w:r w:rsidRPr="00B96ED8">
              <w:rPr>
                <w:rFonts w:asciiTheme="minorHAnsi" w:hAnsiTheme="minorHAnsi" w:cstheme="minorHAnsi"/>
                <w:sz w:val="15"/>
                <w:szCs w:val="15"/>
              </w:rPr>
              <w:t>Secretariat.</w:t>
            </w:r>
          </w:p>
          <w:p w14:paraId="269DFA06" w14:textId="77777777" w:rsidR="00C23B76" w:rsidRPr="00B96ED8" w:rsidRDefault="00D65794">
            <w:pPr>
              <w:pStyle w:val="TableParagraph"/>
              <w:numPr>
                <w:ilvl w:val="0"/>
                <w:numId w:val="14"/>
              </w:numPr>
              <w:tabs>
                <w:tab w:val="left" w:pos="338"/>
              </w:tabs>
              <w:spacing w:before="121"/>
              <w:ind w:left="337" w:hanging="231"/>
              <w:jc w:val="both"/>
              <w:rPr>
                <w:rFonts w:asciiTheme="minorHAnsi" w:hAnsiTheme="minorHAnsi" w:cstheme="minorHAnsi"/>
                <w:sz w:val="15"/>
                <w:szCs w:val="15"/>
              </w:rPr>
            </w:pPr>
            <w:r w:rsidRPr="00B96ED8">
              <w:rPr>
                <w:rFonts w:asciiTheme="minorHAnsi" w:hAnsiTheme="minorHAnsi" w:cstheme="minorHAnsi"/>
                <w:sz w:val="15"/>
                <w:szCs w:val="15"/>
              </w:rPr>
              <w:t>Prepare</w:t>
            </w:r>
            <w:r w:rsidRPr="00B96ED8">
              <w:rPr>
                <w:rFonts w:asciiTheme="minorHAnsi" w:hAnsiTheme="minorHAnsi" w:cstheme="minorHAnsi"/>
                <w:spacing w:val="-13"/>
                <w:sz w:val="15"/>
                <w:szCs w:val="15"/>
              </w:rPr>
              <w:t xml:space="preserve"> </w:t>
            </w:r>
            <w:r w:rsidRPr="00B96ED8">
              <w:rPr>
                <w:rFonts w:asciiTheme="minorHAnsi" w:hAnsiTheme="minorHAnsi" w:cstheme="minorHAnsi"/>
                <w:sz w:val="15"/>
                <w:szCs w:val="15"/>
              </w:rPr>
              <w:t>project</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closing</w:t>
            </w:r>
            <w:r w:rsidRPr="00B96ED8">
              <w:rPr>
                <w:rFonts w:asciiTheme="minorHAnsi" w:hAnsiTheme="minorHAnsi" w:cstheme="minorHAnsi"/>
                <w:spacing w:val="-12"/>
                <w:sz w:val="15"/>
                <w:szCs w:val="15"/>
              </w:rPr>
              <w:t xml:space="preserve"> </w:t>
            </w:r>
            <w:r w:rsidRPr="00B96ED8">
              <w:rPr>
                <w:rFonts w:asciiTheme="minorHAnsi" w:hAnsiTheme="minorHAnsi" w:cstheme="minorHAnsi"/>
                <w:sz w:val="15"/>
                <w:szCs w:val="15"/>
              </w:rPr>
              <w:t>documents</w:t>
            </w:r>
            <w:r w:rsidRPr="00B96ED8">
              <w:rPr>
                <w:rFonts w:asciiTheme="minorHAnsi" w:hAnsiTheme="minorHAnsi" w:cstheme="minorHAnsi"/>
                <w:spacing w:val="-14"/>
                <w:sz w:val="15"/>
                <w:szCs w:val="15"/>
              </w:rPr>
              <w:t xml:space="preserve"> </w:t>
            </w:r>
            <w:r w:rsidRPr="00B96ED8">
              <w:rPr>
                <w:rFonts w:asciiTheme="minorHAnsi" w:hAnsiTheme="minorHAnsi" w:cstheme="minorHAnsi"/>
                <w:sz w:val="15"/>
                <w:szCs w:val="15"/>
              </w:rPr>
              <w:t>and</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inform</w:t>
            </w:r>
            <w:r w:rsidRPr="00B96ED8">
              <w:rPr>
                <w:rFonts w:asciiTheme="minorHAnsi" w:hAnsiTheme="minorHAnsi" w:cstheme="minorHAnsi"/>
                <w:spacing w:val="-9"/>
                <w:sz w:val="15"/>
                <w:szCs w:val="15"/>
              </w:rPr>
              <w:t xml:space="preserve"> </w:t>
            </w:r>
            <w:r w:rsidRPr="00B96ED8">
              <w:rPr>
                <w:rFonts w:asciiTheme="minorHAnsi" w:hAnsiTheme="minorHAnsi" w:cstheme="minorHAnsi"/>
                <w:sz w:val="15"/>
                <w:szCs w:val="15"/>
              </w:rPr>
              <w:t>the</w:t>
            </w:r>
            <w:r w:rsidRPr="00B96ED8">
              <w:rPr>
                <w:rFonts w:asciiTheme="minorHAnsi" w:hAnsiTheme="minorHAnsi" w:cstheme="minorHAnsi"/>
                <w:spacing w:val="-11"/>
                <w:sz w:val="15"/>
                <w:szCs w:val="15"/>
              </w:rPr>
              <w:t xml:space="preserve"> </w:t>
            </w:r>
            <w:r w:rsidRPr="00B96ED8">
              <w:rPr>
                <w:rFonts w:asciiTheme="minorHAnsi" w:hAnsiTheme="minorHAnsi" w:cstheme="minorHAnsi"/>
                <w:sz w:val="15"/>
                <w:szCs w:val="15"/>
              </w:rPr>
              <w:t>GEF</w:t>
            </w:r>
            <w:r w:rsidRPr="00B96ED8">
              <w:rPr>
                <w:rFonts w:asciiTheme="minorHAnsi" w:hAnsiTheme="minorHAnsi" w:cstheme="minorHAnsi"/>
                <w:spacing w:val="-12"/>
                <w:sz w:val="15"/>
                <w:szCs w:val="15"/>
              </w:rPr>
              <w:t xml:space="preserve"> </w:t>
            </w:r>
            <w:r w:rsidRPr="00B96ED8">
              <w:rPr>
                <w:rFonts w:asciiTheme="minorHAnsi" w:hAnsiTheme="minorHAnsi" w:cstheme="minorHAnsi"/>
                <w:sz w:val="15"/>
                <w:szCs w:val="15"/>
              </w:rPr>
              <w:t>Secretariat.</w:t>
            </w:r>
          </w:p>
          <w:p w14:paraId="269DFA07" w14:textId="77777777" w:rsidR="00C23B76" w:rsidRPr="00B96ED8" w:rsidRDefault="00D65794">
            <w:pPr>
              <w:pStyle w:val="TableParagraph"/>
              <w:numPr>
                <w:ilvl w:val="0"/>
                <w:numId w:val="14"/>
              </w:numPr>
              <w:tabs>
                <w:tab w:val="left" w:pos="388"/>
              </w:tabs>
              <w:spacing w:before="118"/>
              <w:ind w:right="99" w:firstLine="0"/>
              <w:jc w:val="both"/>
              <w:rPr>
                <w:rFonts w:asciiTheme="minorHAnsi" w:hAnsiTheme="minorHAnsi" w:cstheme="minorHAnsi"/>
                <w:sz w:val="15"/>
                <w:szCs w:val="15"/>
              </w:rPr>
            </w:pPr>
            <w:r w:rsidRPr="00B96ED8">
              <w:rPr>
                <w:rFonts w:asciiTheme="minorHAnsi" w:hAnsiTheme="minorHAnsi" w:cstheme="minorHAnsi"/>
                <w:sz w:val="15"/>
                <w:szCs w:val="15"/>
              </w:rPr>
              <w:t>Prepare</w:t>
            </w:r>
            <w:r w:rsidRPr="00B96ED8">
              <w:rPr>
                <w:rFonts w:asciiTheme="minorHAnsi" w:hAnsiTheme="minorHAnsi" w:cstheme="minorHAnsi"/>
                <w:spacing w:val="-7"/>
                <w:sz w:val="15"/>
                <w:szCs w:val="15"/>
              </w:rPr>
              <w:t xml:space="preserve"> </w:t>
            </w:r>
            <w:r w:rsidRPr="00B96ED8">
              <w:rPr>
                <w:rFonts w:asciiTheme="minorHAnsi" w:hAnsiTheme="minorHAnsi" w:cstheme="minorHAnsi"/>
                <w:sz w:val="15"/>
                <w:szCs w:val="15"/>
              </w:rPr>
              <w:t>the</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financial</w:t>
            </w:r>
            <w:r w:rsidRPr="00B96ED8">
              <w:rPr>
                <w:rFonts w:asciiTheme="minorHAnsi" w:hAnsiTheme="minorHAnsi" w:cstheme="minorHAnsi"/>
                <w:spacing w:val="-5"/>
                <w:sz w:val="15"/>
                <w:szCs w:val="15"/>
              </w:rPr>
              <w:t xml:space="preserve"> </w:t>
            </w:r>
            <w:r w:rsidRPr="00B96ED8">
              <w:rPr>
                <w:rFonts w:asciiTheme="minorHAnsi" w:hAnsiTheme="minorHAnsi" w:cstheme="minorHAnsi"/>
                <w:sz w:val="15"/>
                <w:szCs w:val="15"/>
              </w:rPr>
              <w:t>closure</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of</w:t>
            </w:r>
            <w:r w:rsidRPr="00B96ED8">
              <w:rPr>
                <w:rFonts w:asciiTheme="minorHAnsi" w:hAnsiTheme="minorHAnsi" w:cstheme="minorHAnsi"/>
                <w:spacing w:val="-5"/>
                <w:sz w:val="15"/>
                <w:szCs w:val="15"/>
              </w:rPr>
              <w:t xml:space="preserve"> </w:t>
            </w:r>
            <w:r w:rsidRPr="00B96ED8">
              <w:rPr>
                <w:rFonts w:asciiTheme="minorHAnsi" w:hAnsiTheme="minorHAnsi" w:cstheme="minorHAnsi"/>
                <w:sz w:val="15"/>
                <w:szCs w:val="15"/>
              </w:rPr>
              <w:t>the</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project</w:t>
            </w:r>
            <w:r w:rsidRPr="00B96ED8">
              <w:rPr>
                <w:rFonts w:asciiTheme="minorHAnsi" w:hAnsiTheme="minorHAnsi" w:cstheme="minorHAnsi"/>
                <w:spacing w:val="-3"/>
                <w:sz w:val="15"/>
                <w:szCs w:val="15"/>
              </w:rPr>
              <w:t xml:space="preserve"> </w:t>
            </w:r>
            <w:r w:rsidRPr="00B96ED8">
              <w:rPr>
                <w:rFonts w:asciiTheme="minorHAnsi" w:hAnsiTheme="minorHAnsi" w:cstheme="minorHAnsi"/>
                <w:sz w:val="15"/>
                <w:szCs w:val="15"/>
              </w:rPr>
              <w:t>and</w:t>
            </w:r>
            <w:r w:rsidRPr="00B96ED8">
              <w:rPr>
                <w:rFonts w:asciiTheme="minorHAnsi" w:hAnsiTheme="minorHAnsi" w:cstheme="minorHAnsi"/>
                <w:spacing w:val="-4"/>
                <w:sz w:val="15"/>
                <w:szCs w:val="15"/>
              </w:rPr>
              <w:t xml:space="preserve"> </w:t>
            </w:r>
            <w:r w:rsidRPr="00B96ED8">
              <w:rPr>
                <w:rFonts w:asciiTheme="minorHAnsi" w:hAnsiTheme="minorHAnsi" w:cstheme="minorHAnsi"/>
                <w:sz w:val="15"/>
                <w:szCs w:val="15"/>
              </w:rPr>
              <w:t>inform</w:t>
            </w:r>
            <w:r w:rsidRPr="00B96ED8">
              <w:rPr>
                <w:rFonts w:asciiTheme="minorHAnsi" w:hAnsiTheme="minorHAnsi" w:cstheme="minorHAnsi"/>
                <w:spacing w:val="-4"/>
                <w:sz w:val="15"/>
                <w:szCs w:val="15"/>
              </w:rPr>
              <w:t xml:space="preserve"> </w:t>
            </w:r>
            <w:r w:rsidRPr="00B96ED8">
              <w:rPr>
                <w:rFonts w:asciiTheme="minorHAnsi" w:hAnsiTheme="minorHAnsi" w:cstheme="minorHAnsi"/>
                <w:sz w:val="15"/>
                <w:szCs w:val="15"/>
              </w:rPr>
              <w:t>to</w:t>
            </w:r>
            <w:r w:rsidRPr="00B96ED8">
              <w:rPr>
                <w:rFonts w:asciiTheme="minorHAnsi" w:hAnsiTheme="minorHAnsi" w:cstheme="minorHAnsi"/>
                <w:spacing w:val="-8"/>
                <w:sz w:val="15"/>
                <w:szCs w:val="15"/>
              </w:rPr>
              <w:t xml:space="preserve"> </w:t>
            </w:r>
            <w:r w:rsidRPr="00B96ED8">
              <w:rPr>
                <w:rFonts w:asciiTheme="minorHAnsi" w:hAnsiTheme="minorHAnsi" w:cstheme="minorHAnsi"/>
                <w:sz w:val="15"/>
                <w:szCs w:val="15"/>
              </w:rPr>
              <w:t>the</w:t>
            </w:r>
            <w:r w:rsidRPr="00B96ED8">
              <w:rPr>
                <w:rFonts w:asciiTheme="minorHAnsi" w:hAnsiTheme="minorHAnsi" w:cstheme="minorHAnsi"/>
                <w:spacing w:val="-6"/>
                <w:sz w:val="15"/>
                <w:szCs w:val="15"/>
              </w:rPr>
              <w:t xml:space="preserve"> </w:t>
            </w:r>
            <w:r w:rsidRPr="00B96ED8">
              <w:rPr>
                <w:rFonts w:asciiTheme="minorHAnsi" w:hAnsiTheme="minorHAnsi" w:cstheme="minorHAnsi"/>
                <w:sz w:val="15"/>
                <w:szCs w:val="15"/>
              </w:rPr>
              <w:t>GEF Secretariat.</w:t>
            </w:r>
          </w:p>
          <w:p w14:paraId="269DFA09" w14:textId="77777777" w:rsidR="00C23B76" w:rsidRPr="00B96ED8" w:rsidRDefault="00C23B76">
            <w:pPr>
              <w:pStyle w:val="TableParagraph"/>
              <w:spacing w:before="2"/>
              <w:ind w:left="0"/>
              <w:rPr>
                <w:rFonts w:asciiTheme="minorHAnsi" w:hAnsiTheme="minorHAnsi" w:cstheme="minorHAnsi"/>
                <w:i/>
                <w:sz w:val="15"/>
                <w:szCs w:val="15"/>
              </w:rPr>
            </w:pPr>
          </w:p>
          <w:p w14:paraId="269DFA0A" w14:textId="77777777" w:rsidR="00C23B76" w:rsidRPr="00B96ED8" w:rsidRDefault="00D65794">
            <w:pPr>
              <w:pStyle w:val="TableParagraph"/>
              <w:jc w:val="both"/>
              <w:rPr>
                <w:rFonts w:asciiTheme="minorHAnsi" w:hAnsiTheme="minorHAnsi" w:cstheme="minorHAnsi"/>
                <w:b/>
                <w:sz w:val="15"/>
                <w:szCs w:val="15"/>
              </w:rPr>
            </w:pPr>
            <w:r w:rsidRPr="00B96ED8">
              <w:rPr>
                <w:rFonts w:asciiTheme="minorHAnsi" w:hAnsiTheme="minorHAnsi" w:cstheme="minorHAnsi"/>
                <w:b/>
                <w:sz w:val="15"/>
                <w:szCs w:val="15"/>
              </w:rPr>
              <w:t>II.GEF Corporate Activities</w:t>
            </w:r>
          </w:p>
          <w:p w14:paraId="269DFA0B" w14:textId="77777777" w:rsidR="00C23B76" w:rsidRPr="00B96ED8" w:rsidRDefault="00D65794">
            <w:pPr>
              <w:pStyle w:val="TableParagraph"/>
              <w:numPr>
                <w:ilvl w:val="0"/>
                <w:numId w:val="13"/>
              </w:numPr>
              <w:tabs>
                <w:tab w:val="left" w:pos="436"/>
              </w:tabs>
              <w:spacing w:before="116"/>
              <w:ind w:right="98" w:firstLine="0"/>
              <w:jc w:val="both"/>
              <w:rPr>
                <w:rFonts w:asciiTheme="minorHAnsi" w:hAnsiTheme="minorHAnsi" w:cstheme="minorHAnsi"/>
                <w:sz w:val="15"/>
                <w:szCs w:val="15"/>
              </w:rPr>
            </w:pPr>
            <w:r w:rsidRPr="00B96ED8">
              <w:rPr>
                <w:rFonts w:asciiTheme="minorHAnsi" w:hAnsiTheme="minorHAnsi" w:cstheme="minorHAnsi"/>
                <w:sz w:val="15"/>
                <w:szCs w:val="15"/>
              </w:rPr>
              <w:t xml:space="preserve">Policy support includes the development, revision and operationalization of GEF policies, strategies, business plans and guidelines. </w:t>
            </w:r>
            <w:r w:rsidRPr="00B96ED8">
              <w:rPr>
                <w:rFonts w:asciiTheme="minorHAnsi" w:hAnsiTheme="minorHAnsi" w:cstheme="minorHAnsi"/>
                <w:spacing w:val="-3"/>
                <w:sz w:val="15"/>
                <w:szCs w:val="15"/>
              </w:rPr>
              <w:t xml:space="preserve">It </w:t>
            </w:r>
            <w:r w:rsidRPr="00B96ED8">
              <w:rPr>
                <w:rFonts w:asciiTheme="minorHAnsi" w:hAnsiTheme="minorHAnsi" w:cstheme="minorHAnsi"/>
                <w:sz w:val="15"/>
                <w:szCs w:val="15"/>
              </w:rPr>
              <w:t>also includes participation in the meetings of the GEF governing</w:t>
            </w:r>
            <w:r w:rsidRPr="00B96ED8">
              <w:rPr>
                <w:rFonts w:asciiTheme="minorHAnsi" w:hAnsiTheme="minorHAnsi" w:cstheme="minorHAnsi"/>
                <w:spacing w:val="-4"/>
                <w:sz w:val="15"/>
                <w:szCs w:val="15"/>
              </w:rPr>
              <w:t xml:space="preserve"> </w:t>
            </w:r>
            <w:r w:rsidRPr="00B96ED8">
              <w:rPr>
                <w:rFonts w:asciiTheme="minorHAnsi" w:hAnsiTheme="minorHAnsi" w:cstheme="minorHAnsi"/>
                <w:sz w:val="15"/>
                <w:szCs w:val="15"/>
              </w:rPr>
              <w:t>bodies.</w:t>
            </w:r>
          </w:p>
          <w:p w14:paraId="269DFA0C" w14:textId="77777777" w:rsidR="00C23B76" w:rsidRPr="00B96ED8" w:rsidRDefault="00D65794">
            <w:pPr>
              <w:pStyle w:val="TableParagraph"/>
              <w:numPr>
                <w:ilvl w:val="0"/>
                <w:numId w:val="13"/>
              </w:numPr>
              <w:tabs>
                <w:tab w:val="left" w:pos="472"/>
              </w:tabs>
              <w:spacing w:before="121"/>
              <w:ind w:right="94" w:firstLine="0"/>
              <w:jc w:val="both"/>
              <w:rPr>
                <w:rFonts w:asciiTheme="minorHAnsi" w:hAnsiTheme="minorHAnsi" w:cstheme="minorHAnsi"/>
                <w:sz w:val="15"/>
                <w:szCs w:val="15"/>
              </w:rPr>
            </w:pPr>
            <w:r w:rsidRPr="00B96ED8">
              <w:rPr>
                <w:rFonts w:asciiTheme="minorHAnsi" w:hAnsiTheme="minorHAnsi" w:cstheme="minorHAnsi"/>
                <w:sz w:val="15"/>
                <w:szCs w:val="15"/>
              </w:rPr>
              <w:t>Portfolio management includes pipeline and program management,</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financial</w:t>
            </w:r>
            <w:r w:rsidRPr="00B96ED8">
              <w:rPr>
                <w:rFonts w:asciiTheme="minorHAnsi" w:hAnsiTheme="minorHAnsi" w:cstheme="minorHAnsi"/>
                <w:spacing w:val="-10"/>
                <w:sz w:val="15"/>
                <w:szCs w:val="15"/>
              </w:rPr>
              <w:t xml:space="preserve"> </w:t>
            </w:r>
            <w:r w:rsidRPr="00B96ED8">
              <w:rPr>
                <w:rFonts w:asciiTheme="minorHAnsi" w:hAnsiTheme="minorHAnsi" w:cstheme="minorHAnsi"/>
                <w:sz w:val="15"/>
                <w:szCs w:val="15"/>
              </w:rPr>
              <w:t>management</w:t>
            </w:r>
            <w:r w:rsidRPr="00B96ED8">
              <w:rPr>
                <w:rFonts w:asciiTheme="minorHAnsi" w:hAnsiTheme="minorHAnsi" w:cstheme="minorHAnsi"/>
                <w:spacing w:val="-9"/>
                <w:sz w:val="15"/>
                <w:szCs w:val="15"/>
              </w:rPr>
              <w:t xml:space="preserve"> </w:t>
            </w:r>
            <w:r w:rsidRPr="00B96ED8">
              <w:rPr>
                <w:rFonts w:asciiTheme="minorHAnsi" w:hAnsiTheme="minorHAnsi" w:cstheme="minorHAnsi"/>
                <w:sz w:val="15"/>
                <w:szCs w:val="15"/>
              </w:rPr>
              <w:t>and</w:t>
            </w:r>
            <w:r w:rsidRPr="00B96ED8">
              <w:rPr>
                <w:rFonts w:asciiTheme="minorHAnsi" w:hAnsiTheme="minorHAnsi" w:cstheme="minorHAnsi"/>
                <w:spacing w:val="-12"/>
                <w:sz w:val="15"/>
                <w:szCs w:val="15"/>
              </w:rPr>
              <w:t xml:space="preserve"> </w:t>
            </w:r>
            <w:r w:rsidRPr="00B96ED8">
              <w:rPr>
                <w:rFonts w:asciiTheme="minorHAnsi" w:hAnsiTheme="minorHAnsi" w:cstheme="minorHAnsi"/>
                <w:sz w:val="15"/>
                <w:szCs w:val="15"/>
              </w:rPr>
              <w:t>data</w:t>
            </w:r>
            <w:r w:rsidRPr="00B96ED8">
              <w:rPr>
                <w:rFonts w:asciiTheme="minorHAnsi" w:hAnsiTheme="minorHAnsi" w:cstheme="minorHAnsi"/>
                <w:spacing w:val="-9"/>
                <w:sz w:val="15"/>
                <w:szCs w:val="15"/>
              </w:rPr>
              <w:t xml:space="preserve"> </w:t>
            </w:r>
            <w:r w:rsidRPr="00B96ED8">
              <w:rPr>
                <w:rFonts w:asciiTheme="minorHAnsi" w:hAnsiTheme="minorHAnsi" w:cstheme="minorHAnsi"/>
                <w:sz w:val="15"/>
                <w:szCs w:val="15"/>
              </w:rPr>
              <w:t>management.</w:t>
            </w:r>
            <w:r w:rsidRPr="00B96ED8">
              <w:rPr>
                <w:rFonts w:asciiTheme="minorHAnsi" w:hAnsiTheme="minorHAnsi" w:cstheme="minorHAnsi"/>
                <w:spacing w:val="-8"/>
                <w:sz w:val="15"/>
                <w:szCs w:val="15"/>
              </w:rPr>
              <w:t xml:space="preserve"> </w:t>
            </w:r>
            <w:r w:rsidRPr="00B96ED8">
              <w:rPr>
                <w:rFonts w:asciiTheme="minorHAnsi" w:hAnsiTheme="minorHAnsi" w:cstheme="minorHAnsi"/>
                <w:spacing w:val="-3"/>
                <w:sz w:val="15"/>
                <w:szCs w:val="15"/>
              </w:rPr>
              <w:t>It</w:t>
            </w:r>
            <w:r w:rsidRPr="00B96ED8">
              <w:rPr>
                <w:rFonts w:asciiTheme="minorHAnsi" w:hAnsiTheme="minorHAnsi" w:cstheme="minorHAnsi"/>
                <w:spacing w:val="-8"/>
                <w:sz w:val="15"/>
                <w:szCs w:val="15"/>
              </w:rPr>
              <w:t xml:space="preserve"> </w:t>
            </w:r>
            <w:r w:rsidRPr="00B96ED8">
              <w:rPr>
                <w:rFonts w:asciiTheme="minorHAnsi" w:hAnsiTheme="minorHAnsi" w:cstheme="minorHAnsi"/>
                <w:sz w:val="15"/>
                <w:szCs w:val="15"/>
              </w:rPr>
              <w:t>includes participation in financial consultations organized by the Trustee. It also comprises preparation of the Annual Monitoring Report</w:t>
            </w:r>
            <w:r w:rsidRPr="00B96ED8">
              <w:rPr>
                <w:rFonts w:asciiTheme="minorHAnsi" w:hAnsiTheme="minorHAnsi" w:cstheme="minorHAnsi"/>
                <w:spacing w:val="-7"/>
                <w:sz w:val="15"/>
                <w:szCs w:val="15"/>
              </w:rPr>
              <w:t xml:space="preserve"> </w:t>
            </w:r>
            <w:r w:rsidRPr="00B96ED8">
              <w:rPr>
                <w:rFonts w:asciiTheme="minorHAnsi" w:hAnsiTheme="minorHAnsi" w:cstheme="minorHAnsi"/>
                <w:sz w:val="15"/>
                <w:szCs w:val="15"/>
              </w:rPr>
              <w:t>(AMR),</w:t>
            </w:r>
          </w:p>
          <w:p w14:paraId="269DFA0D" w14:textId="77777777" w:rsidR="00C23B76" w:rsidRPr="00B96ED8" w:rsidRDefault="00D65794">
            <w:pPr>
              <w:pStyle w:val="TableParagraph"/>
              <w:spacing w:line="166" w:lineRule="exact"/>
              <w:jc w:val="both"/>
              <w:rPr>
                <w:sz w:val="15"/>
                <w:szCs w:val="15"/>
              </w:rPr>
            </w:pPr>
            <w:r w:rsidRPr="00B96ED8">
              <w:rPr>
                <w:rFonts w:asciiTheme="minorHAnsi" w:hAnsiTheme="minorHAnsi" w:cstheme="minorHAnsi"/>
                <w:sz w:val="15"/>
                <w:szCs w:val="15"/>
              </w:rPr>
              <w:t>the Annual Portfolio Review for the Evaluation Office</w:t>
            </w:r>
            <w:r w:rsidRPr="00B96ED8">
              <w:rPr>
                <w:rFonts w:asciiTheme="minorHAnsi" w:hAnsiTheme="minorHAnsi" w:cstheme="minorHAnsi"/>
                <w:spacing w:val="-29"/>
                <w:sz w:val="15"/>
                <w:szCs w:val="15"/>
              </w:rPr>
              <w:t xml:space="preserve"> </w:t>
            </w:r>
            <w:r w:rsidRPr="00B96ED8">
              <w:rPr>
                <w:rFonts w:asciiTheme="minorHAnsi" w:hAnsiTheme="minorHAnsi" w:cstheme="minorHAnsi"/>
                <w:sz w:val="15"/>
                <w:szCs w:val="15"/>
              </w:rPr>
              <w:t>(APR) and the</w:t>
            </w:r>
          </w:p>
        </w:tc>
      </w:tr>
    </w:tbl>
    <w:p w14:paraId="269DFA0F" w14:textId="77777777" w:rsidR="00C23B76" w:rsidRDefault="00C23B76">
      <w:pPr>
        <w:spacing w:line="166" w:lineRule="exact"/>
        <w:jc w:val="both"/>
        <w:rPr>
          <w:sz w:val="16"/>
        </w:rPr>
        <w:sectPr w:rsidR="00C23B76">
          <w:pgSz w:w="12240" w:h="15840"/>
          <w:pgMar w:top="1340" w:right="1320" w:bottom="1260" w:left="1340" w:header="182" w:footer="1066" w:gutter="0"/>
          <w:cols w:space="720"/>
        </w:sectPr>
      </w:pPr>
    </w:p>
    <w:p w14:paraId="269DFA10" w14:textId="540A120F" w:rsidR="00C23B76" w:rsidRDefault="00AF49B0">
      <w:pPr>
        <w:pStyle w:val="BodyText"/>
        <w:rPr>
          <w:i/>
          <w:sz w:val="7"/>
        </w:rPr>
      </w:pPr>
      <w:r>
        <w:rPr>
          <w:noProof/>
        </w:rPr>
        <w:lastRenderedPageBreak/>
        <mc:AlternateContent>
          <mc:Choice Requires="wps">
            <w:drawing>
              <wp:anchor distT="0" distB="0" distL="114300" distR="114300" simplePos="0" relativeHeight="251662336" behindDoc="0" locked="0" layoutInCell="1" allowOverlap="1" wp14:anchorId="269DFB75" wp14:editId="41617D20">
                <wp:simplePos x="0" y="0"/>
                <wp:positionH relativeFrom="page">
                  <wp:posOffset>3886835</wp:posOffset>
                </wp:positionH>
                <wp:positionV relativeFrom="page">
                  <wp:posOffset>917575</wp:posOffset>
                </wp:positionV>
                <wp:extent cx="2969895" cy="1480185"/>
                <wp:effectExtent l="0" t="0" r="0"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4801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DFB94" w14:textId="77777777" w:rsidR="00FA76E7" w:rsidRPr="00B96ED8" w:rsidRDefault="00FA76E7">
                            <w:pPr>
                              <w:spacing w:line="242" w:lineRule="auto"/>
                              <w:ind w:left="103"/>
                              <w:rPr>
                                <w:rFonts w:asciiTheme="minorHAnsi" w:hAnsiTheme="minorHAnsi" w:cstheme="minorHAnsi"/>
                                <w:sz w:val="16"/>
                              </w:rPr>
                            </w:pPr>
                            <w:r w:rsidRPr="00B96ED8">
                              <w:rPr>
                                <w:rFonts w:asciiTheme="minorHAnsi" w:hAnsiTheme="minorHAnsi" w:cstheme="minorHAnsi"/>
                                <w:sz w:val="16"/>
                              </w:rPr>
                              <w:t>overall management of the portfolio regardless of the number of projects undertaken.</w:t>
                            </w:r>
                          </w:p>
                          <w:p w14:paraId="269DFB95" w14:textId="77777777" w:rsidR="00FA76E7" w:rsidRPr="00B96ED8" w:rsidRDefault="00FA76E7">
                            <w:pPr>
                              <w:numPr>
                                <w:ilvl w:val="0"/>
                                <w:numId w:val="12"/>
                              </w:numPr>
                              <w:tabs>
                                <w:tab w:val="left" w:pos="370"/>
                              </w:tabs>
                              <w:spacing w:before="113"/>
                              <w:ind w:right="105" w:firstLine="0"/>
                              <w:jc w:val="both"/>
                              <w:rPr>
                                <w:rFonts w:asciiTheme="minorHAnsi" w:hAnsiTheme="minorHAnsi" w:cstheme="minorHAnsi"/>
                                <w:sz w:val="16"/>
                              </w:rPr>
                            </w:pPr>
                            <w:r w:rsidRPr="00B96ED8">
                              <w:rPr>
                                <w:rFonts w:asciiTheme="minorHAnsi" w:hAnsiTheme="minorHAnsi" w:cstheme="minorHAnsi"/>
                                <w:sz w:val="16"/>
                              </w:rPr>
                              <w:t>Reporting includes all the reporting requirements as per the Guidelines.</w:t>
                            </w:r>
                          </w:p>
                          <w:p w14:paraId="269DFB96" w14:textId="77777777" w:rsidR="00FA76E7" w:rsidRPr="00B96ED8" w:rsidRDefault="00FA76E7">
                            <w:pPr>
                              <w:numPr>
                                <w:ilvl w:val="0"/>
                                <w:numId w:val="12"/>
                              </w:numPr>
                              <w:tabs>
                                <w:tab w:val="left" w:pos="367"/>
                              </w:tabs>
                              <w:spacing w:before="119"/>
                              <w:ind w:right="98" w:firstLine="0"/>
                              <w:jc w:val="both"/>
                              <w:rPr>
                                <w:rFonts w:asciiTheme="minorHAnsi" w:hAnsiTheme="minorHAnsi" w:cstheme="minorHAnsi"/>
                                <w:sz w:val="16"/>
                              </w:rPr>
                            </w:pPr>
                            <w:r w:rsidRPr="00B96ED8">
                              <w:rPr>
                                <w:rFonts w:asciiTheme="minorHAnsi" w:hAnsiTheme="minorHAnsi" w:cstheme="minorHAnsi"/>
                                <w:sz w:val="16"/>
                              </w:rPr>
                              <w:t>Outreach and knowledge sharing include participation in sub- regional</w:t>
                            </w:r>
                            <w:r w:rsidRPr="00B96ED8">
                              <w:rPr>
                                <w:rFonts w:asciiTheme="minorHAnsi" w:hAnsiTheme="minorHAnsi" w:cstheme="minorHAnsi"/>
                                <w:spacing w:val="-7"/>
                                <w:sz w:val="16"/>
                              </w:rPr>
                              <w:t xml:space="preserve"> </w:t>
                            </w:r>
                            <w:r w:rsidRPr="00B96ED8">
                              <w:rPr>
                                <w:rFonts w:asciiTheme="minorHAnsi" w:hAnsiTheme="minorHAnsi" w:cstheme="minorHAnsi"/>
                                <w:sz w:val="16"/>
                              </w:rPr>
                              <w:t>consultations,</w:t>
                            </w:r>
                            <w:r w:rsidRPr="00B96ED8">
                              <w:rPr>
                                <w:rFonts w:asciiTheme="minorHAnsi" w:hAnsiTheme="minorHAnsi" w:cstheme="minorHAnsi"/>
                                <w:spacing w:val="-7"/>
                                <w:sz w:val="16"/>
                              </w:rPr>
                              <w:t xml:space="preserve"> </w:t>
                            </w:r>
                            <w:r w:rsidRPr="00B96ED8">
                              <w:rPr>
                                <w:rFonts w:asciiTheme="minorHAnsi" w:hAnsiTheme="minorHAnsi" w:cstheme="minorHAnsi"/>
                                <w:sz w:val="16"/>
                              </w:rPr>
                              <w:t>Country</w:t>
                            </w:r>
                            <w:r w:rsidRPr="00B96ED8">
                              <w:rPr>
                                <w:rFonts w:asciiTheme="minorHAnsi" w:hAnsiTheme="minorHAnsi" w:cstheme="minorHAnsi"/>
                                <w:spacing w:val="-8"/>
                                <w:sz w:val="16"/>
                              </w:rPr>
                              <w:t xml:space="preserve"> </w:t>
                            </w:r>
                            <w:r w:rsidRPr="00B96ED8">
                              <w:rPr>
                                <w:rFonts w:asciiTheme="minorHAnsi" w:hAnsiTheme="minorHAnsi" w:cstheme="minorHAnsi"/>
                                <w:sz w:val="16"/>
                              </w:rPr>
                              <w:t>Support</w:t>
                            </w:r>
                            <w:r w:rsidRPr="00B96ED8">
                              <w:rPr>
                                <w:rFonts w:asciiTheme="minorHAnsi" w:hAnsiTheme="minorHAnsi" w:cstheme="minorHAnsi"/>
                                <w:spacing w:val="-5"/>
                                <w:sz w:val="16"/>
                              </w:rPr>
                              <w:t xml:space="preserve"> </w:t>
                            </w:r>
                            <w:r w:rsidRPr="00B96ED8">
                              <w:rPr>
                                <w:rFonts w:asciiTheme="minorHAnsi" w:hAnsiTheme="minorHAnsi" w:cstheme="minorHAnsi"/>
                                <w:sz w:val="16"/>
                              </w:rPr>
                              <w:t>Program</w:t>
                            </w:r>
                            <w:r w:rsidRPr="00B96ED8">
                              <w:rPr>
                                <w:rFonts w:asciiTheme="minorHAnsi" w:hAnsiTheme="minorHAnsi" w:cstheme="minorHAnsi"/>
                                <w:spacing w:val="-5"/>
                                <w:sz w:val="16"/>
                              </w:rPr>
                              <w:t xml:space="preserve"> </w:t>
                            </w:r>
                            <w:r w:rsidRPr="00B96ED8">
                              <w:rPr>
                                <w:rFonts w:asciiTheme="minorHAnsi" w:hAnsiTheme="minorHAnsi" w:cstheme="minorHAnsi"/>
                                <w:sz w:val="16"/>
                              </w:rPr>
                              <w:t>(CSP)</w:t>
                            </w:r>
                            <w:r w:rsidRPr="00B96ED8">
                              <w:rPr>
                                <w:rFonts w:asciiTheme="minorHAnsi" w:hAnsiTheme="minorHAnsi" w:cstheme="minorHAnsi"/>
                                <w:spacing w:val="-6"/>
                                <w:sz w:val="16"/>
                              </w:rPr>
                              <w:t xml:space="preserve"> </w:t>
                            </w:r>
                            <w:r w:rsidRPr="00B96ED8">
                              <w:rPr>
                                <w:rFonts w:asciiTheme="minorHAnsi" w:hAnsiTheme="minorHAnsi" w:cstheme="minorHAnsi"/>
                                <w:sz w:val="16"/>
                              </w:rPr>
                              <w:t>activities</w:t>
                            </w:r>
                            <w:r w:rsidRPr="00B96ED8">
                              <w:rPr>
                                <w:rFonts w:asciiTheme="minorHAnsi" w:hAnsiTheme="minorHAnsi" w:cstheme="minorHAnsi"/>
                                <w:spacing w:val="-5"/>
                                <w:sz w:val="16"/>
                              </w:rPr>
                              <w:t xml:space="preserve"> </w:t>
                            </w:r>
                            <w:r w:rsidRPr="00B96ED8">
                              <w:rPr>
                                <w:rFonts w:asciiTheme="minorHAnsi" w:hAnsiTheme="minorHAnsi" w:cstheme="minorHAnsi"/>
                                <w:sz w:val="16"/>
                              </w:rPr>
                              <w:t>and STAP</w:t>
                            </w:r>
                            <w:r w:rsidRPr="00B96ED8">
                              <w:rPr>
                                <w:rFonts w:asciiTheme="minorHAnsi" w:hAnsiTheme="minorHAnsi" w:cstheme="minorHAnsi"/>
                                <w:spacing w:val="-1"/>
                                <w:sz w:val="16"/>
                              </w:rPr>
                              <w:t xml:space="preserve"> </w:t>
                            </w:r>
                            <w:r w:rsidRPr="00B96ED8">
                              <w:rPr>
                                <w:rFonts w:asciiTheme="minorHAnsi" w:hAnsiTheme="minorHAnsi" w:cstheme="minorHAnsi"/>
                                <w:sz w:val="16"/>
                              </w:rPr>
                              <w:t>meetings.</w:t>
                            </w:r>
                          </w:p>
                          <w:p w14:paraId="269DFB97" w14:textId="77777777" w:rsidR="00FA76E7" w:rsidRPr="00B96ED8" w:rsidRDefault="00FA76E7">
                            <w:pPr>
                              <w:numPr>
                                <w:ilvl w:val="0"/>
                                <w:numId w:val="12"/>
                              </w:numPr>
                              <w:tabs>
                                <w:tab w:val="left" w:pos="343"/>
                              </w:tabs>
                              <w:spacing w:before="120"/>
                              <w:ind w:right="105" w:firstLine="0"/>
                              <w:jc w:val="both"/>
                              <w:rPr>
                                <w:rFonts w:asciiTheme="minorHAnsi" w:hAnsiTheme="minorHAnsi" w:cstheme="minorHAnsi"/>
                                <w:sz w:val="16"/>
                              </w:rPr>
                            </w:pPr>
                            <w:r w:rsidRPr="00B96ED8">
                              <w:rPr>
                                <w:rFonts w:asciiTheme="minorHAnsi" w:hAnsiTheme="minorHAnsi" w:cstheme="minorHAnsi"/>
                                <w:sz w:val="16"/>
                              </w:rPr>
                              <w:t>Support to Independent Evaluation Office includes evaluations, reviews and studies initiated by the GEF Independent Evaluation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9DFB75" id="_x0000_t202" coordsize="21600,21600" o:spt="202" path="m,l,21600r21600,l21600,xe">
                <v:stroke joinstyle="miter"/>
                <v:path gradientshapeok="t" o:connecttype="rect"/>
              </v:shapetype>
              <v:shape id="Text Box 8" o:spid="_x0000_s1026" type="#_x0000_t202" style="position:absolute;margin-left:306.05pt;margin-top:72.25pt;width:233.85pt;height:11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" filled="f" strokeweight=".48pt">
                <v:textbox inset="0,0,0,0">
                  <w:txbxContent>
                    <w:p w14:paraId="269DFB94" w14:textId="77777777" w:rsidR="00FA76E7" w:rsidRPr="00B96ED8" w:rsidRDefault="00FA76E7">
                      <w:pPr>
                        <w:spacing w:line="242" w:lineRule="auto"/>
                        <w:ind w:left="103"/>
                        <w:rPr>
                          <w:rFonts w:asciiTheme="minorHAnsi" w:hAnsiTheme="minorHAnsi" w:cstheme="minorHAnsi"/>
                          <w:sz w:val="16"/>
                        </w:rPr>
                      </w:pPr>
                      <w:r w:rsidRPr="00B96ED8">
                        <w:rPr>
                          <w:rFonts w:asciiTheme="minorHAnsi" w:hAnsiTheme="minorHAnsi" w:cstheme="minorHAnsi"/>
                          <w:sz w:val="16"/>
                        </w:rPr>
                        <w:t>overall management of the portfolio regardless of the number of projects undertaken.</w:t>
                      </w:r>
                    </w:p>
                    <w:p w14:paraId="269DFB95" w14:textId="77777777" w:rsidR="00FA76E7" w:rsidRPr="00B96ED8" w:rsidRDefault="00FA76E7">
                      <w:pPr>
                        <w:numPr>
                          <w:ilvl w:val="0"/>
                          <w:numId w:val="12"/>
                        </w:numPr>
                        <w:tabs>
                          <w:tab w:val="left" w:pos="370"/>
                        </w:tabs>
                        <w:spacing w:before="113"/>
                        <w:ind w:right="105" w:firstLine="0"/>
                        <w:jc w:val="both"/>
                        <w:rPr>
                          <w:rFonts w:asciiTheme="minorHAnsi" w:hAnsiTheme="minorHAnsi" w:cstheme="minorHAnsi"/>
                          <w:sz w:val="16"/>
                        </w:rPr>
                      </w:pPr>
                      <w:r w:rsidRPr="00B96ED8">
                        <w:rPr>
                          <w:rFonts w:asciiTheme="minorHAnsi" w:hAnsiTheme="minorHAnsi" w:cstheme="minorHAnsi"/>
                          <w:sz w:val="16"/>
                        </w:rPr>
                        <w:t>Reporting includes all the reporting requirements as per the Guidelines.</w:t>
                      </w:r>
                    </w:p>
                    <w:p w14:paraId="269DFB96" w14:textId="77777777" w:rsidR="00FA76E7" w:rsidRPr="00B96ED8" w:rsidRDefault="00FA76E7">
                      <w:pPr>
                        <w:numPr>
                          <w:ilvl w:val="0"/>
                          <w:numId w:val="12"/>
                        </w:numPr>
                        <w:tabs>
                          <w:tab w:val="left" w:pos="367"/>
                        </w:tabs>
                        <w:spacing w:before="119"/>
                        <w:ind w:right="98" w:firstLine="0"/>
                        <w:jc w:val="both"/>
                        <w:rPr>
                          <w:rFonts w:asciiTheme="minorHAnsi" w:hAnsiTheme="minorHAnsi" w:cstheme="minorHAnsi"/>
                          <w:sz w:val="16"/>
                        </w:rPr>
                      </w:pPr>
                      <w:r w:rsidRPr="00B96ED8">
                        <w:rPr>
                          <w:rFonts w:asciiTheme="minorHAnsi" w:hAnsiTheme="minorHAnsi" w:cstheme="minorHAnsi"/>
                          <w:sz w:val="16"/>
                        </w:rPr>
                        <w:t>Outreach and knowledge sharing include participation in sub- regional</w:t>
                      </w:r>
                      <w:r w:rsidRPr="00B96ED8">
                        <w:rPr>
                          <w:rFonts w:asciiTheme="minorHAnsi" w:hAnsiTheme="minorHAnsi" w:cstheme="minorHAnsi"/>
                          <w:spacing w:val="-7"/>
                          <w:sz w:val="16"/>
                        </w:rPr>
                        <w:t xml:space="preserve"> </w:t>
                      </w:r>
                      <w:r w:rsidRPr="00B96ED8">
                        <w:rPr>
                          <w:rFonts w:asciiTheme="minorHAnsi" w:hAnsiTheme="minorHAnsi" w:cstheme="minorHAnsi"/>
                          <w:sz w:val="16"/>
                        </w:rPr>
                        <w:t>consultations,</w:t>
                      </w:r>
                      <w:r w:rsidRPr="00B96ED8">
                        <w:rPr>
                          <w:rFonts w:asciiTheme="minorHAnsi" w:hAnsiTheme="minorHAnsi" w:cstheme="minorHAnsi"/>
                          <w:spacing w:val="-7"/>
                          <w:sz w:val="16"/>
                        </w:rPr>
                        <w:t xml:space="preserve"> </w:t>
                      </w:r>
                      <w:r w:rsidRPr="00B96ED8">
                        <w:rPr>
                          <w:rFonts w:asciiTheme="minorHAnsi" w:hAnsiTheme="minorHAnsi" w:cstheme="minorHAnsi"/>
                          <w:sz w:val="16"/>
                        </w:rPr>
                        <w:t>Country</w:t>
                      </w:r>
                      <w:r w:rsidRPr="00B96ED8">
                        <w:rPr>
                          <w:rFonts w:asciiTheme="minorHAnsi" w:hAnsiTheme="minorHAnsi" w:cstheme="minorHAnsi"/>
                          <w:spacing w:val="-8"/>
                          <w:sz w:val="16"/>
                        </w:rPr>
                        <w:t xml:space="preserve"> </w:t>
                      </w:r>
                      <w:r w:rsidRPr="00B96ED8">
                        <w:rPr>
                          <w:rFonts w:asciiTheme="minorHAnsi" w:hAnsiTheme="minorHAnsi" w:cstheme="minorHAnsi"/>
                          <w:sz w:val="16"/>
                        </w:rPr>
                        <w:t>Support</w:t>
                      </w:r>
                      <w:r w:rsidRPr="00B96ED8">
                        <w:rPr>
                          <w:rFonts w:asciiTheme="minorHAnsi" w:hAnsiTheme="minorHAnsi" w:cstheme="minorHAnsi"/>
                          <w:spacing w:val="-5"/>
                          <w:sz w:val="16"/>
                        </w:rPr>
                        <w:t xml:space="preserve"> </w:t>
                      </w:r>
                      <w:r w:rsidRPr="00B96ED8">
                        <w:rPr>
                          <w:rFonts w:asciiTheme="minorHAnsi" w:hAnsiTheme="minorHAnsi" w:cstheme="minorHAnsi"/>
                          <w:sz w:val="16"/>
                        </w:rPr>
                        <w:t>Program</w:t>
                      </w:r>
                      <w:r w:rsidRPr="00B96ED8">
                        <w:rPr>
                          <w:rFonts w:asciiTheme="minorHAnsi" w:hAnsiTheme="minorHAnsi" w:cstheme="minorHAnsi"/>
                          <w:spacing w:val="-5"/>
                          <w:sz w:val="16"/>
                        </w:rPr>
                        <w:t xml:space="preserve"> </w:t>
                      </w:r>
                      <w:r w:rsidRPr="00B96ED8">
                        <w:rPr>
                          <w:rFonts w:asciiTheme="minorHAnsi" w:hAnsiTheme="minorHAnsi" w:cstheme="minorHAnsi"/>
                          <w:sz w:val="16"/>
                        </w:rPr>
                        <w:t>(CSP)</w:t>
                      </w:r>
                      <w:r w:rsidRPr="00B96ED8">
                        <w:rPr>
                          <w:rFonts w:asciiTheme="minorHAnsi" w:hAnsiTheme="minorHAnsi" w:cstheme="minorHAnsi"/>
                          <w:spacing w:val="-6"/>
                          <w:sz w:val="16"/>
                        </w:rPr>
                        <w:t xml:space="preserve"> </w:t>
                      </w:r>
                      <w:r w:rsidRPr="00B96ED8">
                        <w:rPr>
                          <w:rFonts w:asciiTheme="minorHAnsi" w:hAnsiTheme="minorHAnsi" w:cstheme="minorHAnsi"/>
                          <w:sz w:val="16"/>
                        </w:rPr>
                        <w:t>activities</w:t>
                      </w:r>
                      <w:r w:rsidRPr="00B96ED8">
                        <w:rPr>
                          <w:rFonts w:asciiTheme="minorHAnsi" w:hAnsiTheme="minorHAnsi" w:cstheme="minorHAnsi"/>
                          <w:spacing w:val="-5"/>
                          <w:sz w:val="16"/>
                        </w:rPr>
                        <w:t xml:space="preserve"> </w:t>
                      </w:r>
                      <w:r w:rsidRPr="00B96ED8">
                        <w:rPr>
                          <w:rFonts w:asciiTheme="minorHAnsi" w:hAnsiTheme="minorHAnsi" w:cstheme="minorHAnsi"/>
                          <w:sz w:val="16"/>
                        </w:rPr>
                        <w:t>and STAP</w:t>
                      </w:r>
                      <w:r w:rsidRPr="00B96ED8">
                        <w:rPr>
                          <w:rFonts w:asciiTheme="minorHAnsi" w:hAnsiTheme="minorHAnsi" w:cstheme="minorHAnsi"/>
                          <w:spacing w:val="-1"/>
                          <w:sz w:val="16"/>
                        </w:rPr>
                        <w:t xml:space="preserve"> </w:t>
                      </w:r>
                      <w:r w:rsidRPr="00B96ED8">
                        <w:rPr>
                          <w:rFonts w:asciiTheme="minorHAnsi" w:hAnsiTheme="minorHAnsi" w:cstheme="minorHAnsi"/>
                          <w:sz w:val="16"/>
                        </w:rPr>
                        <w:t>meetings.</w:t>
                      </w:r>
                    </w:p>
                    <w:p w14:paraId="269DFB97" w14:textId="77777777" w:rsidR="00FA76E7" w:rsidRPr="00B96ED8" w:rsidRDefault="00FA76E7">
                      <w:pPr>
                        <w:numPr>
                          <w:ilvl w:val="0"/>
                          <w:numId w:val="12"/>
                        </w:numPr>
                        <w:tabs>
                          <w:tab w:val="left" w:pos="343"/>
                        </w:tabs>
                        <w:spacing w:before="120"/>
                        <w:ind w:right="105" w:firstLine="0"/>
                        <w:jc w:val="both"/>
                        <w:rPr>
                          <w:rFonts w:asciiTheme="minorHAnsi" w:hAnsiTheme="minorHAnsi" w:cstheme="minorHAnsi"/>
                          <w:sz w:val="16"/>
                        </w:rPr>
                      </w:pPr>
                      <w:r w:rsidRPr="00B96ED8">
                        <w:rPr>
                          <w:rFonts w:asciiTheme="minorHAnsi" w:hAnsiTheme="minorHAnsi" w:cstheme="minorHAnsi"/>
                          <w:sz w:val="16"/>
                        </w:rPr>
                        <w:t>Support to Independent Evaluation Office includes evaluations, reviews and studies initiated by the GEF Independent Evaluation Office.</w:t>
                      </w:r>
                    </w:p>
                  </w:txbxContent>
                </v:textbox>
                <w10:wrap anchorx="page" anchory="page"/>
              </v:shape>
            </w:pict>
          </mc:Fallback>
        </mc:AlternateContent>
      </w:r>
    </w:p>
    <w:p w14:paraId="269DFA11" w14:textId="38736250" w:rsidR="00C23B76" w:rsidRDefault="00AF49B0">
      <w:pPr>
        <w:pStyle w:val="BodyText"/>
        <w:ind w:left="100"/>
        <w:rPr>
          <w:sz w:val="20"/>
        </w:rPr>
      </w:pPr>
      <w:r>
        <w:rPr>
          <w:noProof/>
          <w:sz w:val="20"/>
        </w:rPr>
        <mc:AlternateContent>
          <mc:Choice Requires="wpg">
            <w:drawing>
              <wp:inline distT="0" distB="0" distL="0" distR="0" wp14:anchorId="269DFB77" wp14:editId="2E6A20A7">
                <wp:extent cx="2969260" cy="1486535"/>
                <wp:effectExtent l="9525" t="9525" r="12065" b="8890"/>
                <wp:docPr id="18" name="Group 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969260" cy="1486535"/>
                          <a:chOff x="0" y="0"/>
                          <a:chExt cx="4676" cy="2341"/>
                        </a:xfrm>
                      </wpg:grpSpPr>
                      <wps:wsp>
                        <wps:cNvPr id="19" name="Line 7"/>
                        <wps:cNvCnPr>
                          <a:cxnSpLocks noChangeShapeType="1"/>
                        </wps:cNvCnPr>
                        <wps:spPr bwMode="auto">
                          <a:xfrm>
                            <a:off x="10" y="5"/>
                            <a:ext cx="46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6"/>
                        <wps:cNvCnPr>
                          <a:cxnSpLocks noChangeShapeType="1"/>
                        </wps:cNvCnPr>
                        <wps:spPr bwMode="auto">
                          <a:xfrm>
                            <a:off x="5" y="0"/>
                            <a:ext cx="0" cy="23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5"/>
                        <wps:cNvCnPr>
                          <a:cxnSpLocks noChangeShapeType="1"/>
                        </wps:cNvCnPr>
                        <wps:spPr bwMode="auto">
                          <a:xfrm>
                            <a:off x="10" y="2336"/>
                            <a:ext cx="46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02349B24" id="Group 4" o:spid="_x0000_s1026" style="width:233.8pt;height:117.05pt;mso-position-horizontal-relative:char;mso-position-vertical-relative:line" coordsize="4676,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">
                <o:lock v:ext="edit" rotation="t" position="t"/>
                <v:line id="Line 7" o:spid="_x0000_s1027" style="position:absolute;visibility:visible;mso-wrap-style:square" from="10,5" to="4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6" o:spid="_x0000_s1028" style="position:absolute;visibility:visible;mso-wrap-style:square" from="5,0" to="5,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 o:spid="_x0000_s1029" style="position:absolute;visibility:visible;mso-wrap-style:square" from="10,2336" to="4676,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14:paraId="269DFA12" w14:textId="77777777" w:rsidR="00C23B76" w:rsidRDefault="00C23B76">
      <w:pPr>
        <w:rPr>
          <w:sz w:val="20"/>
        </w:rPr>
        <w:sectPr w:rsidR="00C23B76">
          <w:headerReference w:type="default" r:id="rId23"/>
          <w:footerReference w:type="default" r:id="rId24"/>
          <w:pgSz w:w="12240" w:h="15840"/>
          <w:pgMar w:top="1340" w:right="1320" w:bottom="1540" w:left="1340" w:header="182" w:footer="1342" w:gutter="0"/>
          <w:cols w:space="720"/>
        </w:sectPr>
      </w:pPr>
    </w:p>
    <w:p w14:paraId="269DFA13" w14:textId="77777777" w:rsidR="00C23B76" w:rsidRDefault="00D65794">
      <w:pPr>
        <w:pStyle w:val="Heading1"/>
        <w:spacing w:before="90"/>
        <w:ind w:firstLine="0"/>
        <w:jc w:val="both"/>
      </w:pPr>
      <w:bookmarkStart w:id="7" w:name="Annex_1_-_UNDP_Execution_Support_to_GEF-"/>
      <w:bookmarkEnd w:id="7"/>
      <w:r>
        <w:lastRenderedPageBreak/>
        <w:t>Annex 1 - UNDP Execution Support to GEF-financed Projects</w:t>
      </w:r>
    </w:p>
    <w:p w14:paraId="269DFA14" w14:textId="77777777" w:rsidR="00C23B76" w:rsidRDefault="00C23B76">
      <w:pPr>
        <w:pStyle w:val="BodyText"/>
        <w:spacing w:before="1"/>
        <w:rPr>
          <w:b/>
        </w:rPr>
      </w:pPr>
    </w:p>
    <w:p w14:paraId="269DFA15" w14:textId="77777777" w:rsidR="00C23B76" w:rsidRDefault="00D65794">
      <w:pPr>
        <w:pStyle w:val="BodyText"/>
        <w:ind w:left="3454" w:right="3469"/>
        <w:jc w:val="center"/>
      </w:pPr>
      <w:r>
        <w:t>Third Update 11 August 2020</w:t>
      </w:r>
    </w:p>
    <w:p w14:paraId="269DFA16" w14:textId="77777777" w:rsidR="00C23B76" w:rsidRDefault="00C23B76">
      <w:pPr>
        <w:pStyle w:val="BodyText"/>
        <w:spacing w:before="10"/>
        <w:rPr>
          <w:sz w:val="21"/>
        </w:rPr>
      </w:pPr>
    </w:p>
    <w:p w14:paraId="269DFA17" w14:textId="77777777" w:rsidR="00C23B76" w:rsidRDefault="00D65794">
      <w:pPr>
        <w:pStyle w:val="BodyText"/>
        <w:ind w:left="100" w:right="113"/>
        <w:jc w:val="both"/>
      </w:pPr>
      <w:r>
        <w:t xml:space="preserve">UNDP is bound by the GEF Financial Procedures Agreement to comply with </w:t>
      </w:r>
      <w:hyperlink r:id="rId25">
        <w:r>
          <w:rPr>
            <w:color w:val="0000FF"/>
            <w:u w:val="single" w:color="0000FF"/>
          </w:rPr>
          <w:t>GEF policies and guidelines.</w:t>
        </w:r>
      </w:hyperlink>
      <w:r>
        <w:rPr>
          <w:color w:val="0000FF"/>
        </w:rPr>
        <w:t xml:space="preserve"> </w:t>
      </w:r>
      <w:r>
        <w:t>This guidance note has been prepared to assist UNDP in complying with the GEF requirements related to the provision of execution support.</w:t>
      </w:r>
    </w:p>
    <w:p w14:paraId="269DFA18" w14:textId="77777777" w:rsidR="00C23B76" w:rsidRDefault="00C23B76">
      <w:pPr>
        <w:pStyle w:val="BodyText"/>
        <w:spacing w:before="1"/>
      </w:pPr>
    </w:p>
    <w:p w14:paraId="269DFA19" w14:textId="77777777" w:rsidR="00C23B76" w:rsidRDefault="00D65794">
      <w:pPr>
        <w:pStyle w:val="Heading1"/>
        <w:numPr>
          <w:ilvl w:val="0"/>
          <w:numId w:val="11"/>
        </w:numPr>
        <w:tabs>
          <w:tab w:val="left" w:pos="461"/>
        </w:tabs>
        <w:ind w:hanging="361"/>
      </w:pPr>
      <w:r>
        <w:t>Background:</w:t>
      </w:r>
    </w:p>
    <w:p w14:paraId="269DFA1A" w14:textId="77777777" w:rsidR="00C23B76" w:rsidRDefault="00C23B76">
      <w:pPr>
        <w:pStyle w:val="BodyText"/>
        <w:spacing w:before="1"/>
        <w:rPr>
          <w:b/>
        </w:rPr>
      </w:pPr>
    </w:p>
    <w:p w14:paraId="269DFA1B" w14:textId="77777777" w:rsidR="00C23B76" w:rsidRDefault="00D65794">
      <w:pPr>
        <w:pStyle w:val="BodyText"/>
        <w:ind w:left="100" w:right="113"/>
        <w:jc w:val="both"/>
      </w:pPr>
      <w:r>
        <w:t xml:space="preserve">As explained in the </w:t>
      </w:r>
      <w:hyperlink r:id="rId26">
        <w:r>
          <w:rPr>
            <w:color w:val="0000FF"/>
            <w:u w:val="single" w:color="0000FF"/>
          </w:rPr>
          <w:t>UNDP Rules and Procedures governing UNDP projects</w:t>
        </w:r>
      </w:hyperlink>
      <w:r>
        <w:rPr>
          <w:color w:val="0000FF"/>
        </w:rPr>
        <w:t xml:space="preserve"> </w:t>
      </w:r>
      <w:r>
        <w:t>(PPM), UNDP may provide support</w:t>
      </w:r>
      <w:r>
        <w:rPr>
          <w:spacing w:val="-12"/>
        </w:rPr>
        <w:t xml:space="preserve"> </w:t>
      </w:r>
      <w:r>
        <w:t>services</w:t>
      </w:r>
      <w:r>
        <w:rPr>
          <w:spacing w:val="-11"/>
        </w:rPr>
        <w:t xml:space="preserve"> </w:t>
      </w:r>
      <w:r>
        <w:t>for</w:t>
      </w:r>
      <w:r>
        <w:rPr>
          <w:spacing w:val="-11"/>
        </w:rPr>
        <w:t xml:space="preserve"> </w:t>
      </w:r>
      <w:r>
        <w:t>any</w:t>
      </w:r>
      <w:r>
        <w:rPr>
          <w:spacing w:val="-13"/>
        </w:rPr>
        <w:t xml:space="preserve"> </w:t>
      </w:r>
      <w:r>
        <w:t>implementing</w:t>
      </w:r>
      <w:r>
        <w:rPr>
          <w:spacing w:val="-12"/>
        </w:rPr>
        <w:t xml:space="preserve"> </w:t>
      </w:r>
      <w:r>
        <w:t>partner</w:t>
      </w:r>
      <w:r>
        <w:rPr>
          <w:spacing w:val="-12"/>
        </w:rPr>
        <w:t xml:space="preserve"> </w:t>
      </w:r>
      <w:r>
        <w:t>(IP),</w:t>
      </w:r>
      <w:r>
        <w:rPr>
          <w:spacing w:val="-14"/>
        </w:rPr>
        <w:t xml:space="preserve"> </w:t>
      </w:r>
      <w:r>
        <w:t>called</w:t>
      </w:r>
      <w:r>
        <w:rPr>
          <w:spacing w:val="-12"/>
        </w:rPr>
        <w:t xml:space="preserve"> </w:t>
      </w:r>
      <w:r>
        <w:t>Country</w:t>
      </w:r>
      <w:r>
        <w:rPr>
          <w:spacing w:val="-11"/>
        </w:rPr>
        <w:t xml:space="preserve"> </w:t>
      </w:r>
      <w:r>
        <w:t>Office</w:t>
      </w:r>
      <w:r>
        <w:rPr>
          <w:spacing w:val="-11"/>
        </w:rPr>
        <w:t xml:space="preserve"> </w:t>
      </w:r>
      <w:r>
        <w:t>Support</w:t>
      </w:r>
      <w:r>
        <w:rPr>
          <w:spacing w:val="-13"/>
        </w:rPr>
        <w:t xml:space="preserve"> </w:t>
      </w:r>
      <w:r>
        <w:t>(COS).</w:t>
      </w:r>
      <w:r>
        <w:rPr>
          <w:spacing w:val="-12"/>
        </w:rPr>
        <w:t xml:space="preserve"> </w:t>
      </w:r>
      <w:r>
        <w:t>These</w:t>
      </w:r>
      <w:r>
        <w:rPr>
          <w:spacing w:val="-11"/>
        </w:rPr>
        <w:t xml:space="preserve"> </w:t>
      </w:r>
      <w:r>
        <w:t>can</w:t>
      </w:r>
      <w:r>
        <w:rPr>
          <w:spacing w:val="-14"/>
        </w:rPr>
        <w:t xml:space="preserve"> </w:t>
      </w:r>
      <w:r>
        <w:t>include delivering specified outputs, implementing select project activities, contracting a responsible party on behalf of the IP, or providing procurement, recruitment, payment or other services. COS is specified and agreed between UNDP and the IP through a signed letter of agreement. UNDP is entitled to reimbursement for the costs of service provision. This cost reimbursement is negotiated at the time of project formulation and included in the project</w:t>
      </w:r>
      <w:r>
        <w:rPr>
          <w:spacing w:val="-3"/>
        </w:rPr>
        <w:t xml:space="preserve"> </w:t>
      </w:r>
      <w:r>
        <w:t>budget.</w:t>
      </w:r>
    </w:p>
    <w:p w14:paraId="269DFA1C" w14:textId="77777777" w:rsidR="00C23B76" w:rsidRDefault="00C23B76">
      <w:pPr>
        <w:pStyle w:val="BodyText"/>
      </w:pPr>
    </w:p>
    <w:p w14:paraId="269DFA1D" w14:textId="77777777" w:rsidR="00C23B76" w:rsidRDefault="00D65794">
      <w:pPr>
        <w:pStyle w:val="BodyText"/>
        <w:ind w:left="100" w:right="112"/>
        <w:jc w:val="both"/>
      </w:pPr>
      <w:r>
        <w:t>While</w:t>
      </w:r>
      <w:r>
        <w:rPr>
          <w:spacing w:val="-6"/>
        </w:rPr>
        <w:t xml:space="preserve"> </w:t>
      </w:r>
      <w:r>
        <w:t>Country</w:t>
      </w:r>
      <w:r>
        <w:rPr>
          <w:spacing w:val="-6"/>
        </w:rPr>
        <w:t xml:space="preserve"> </w:t>
      </w:r>
      <w:r>
        <w:t>Offices</w:t>
      </w:r>
      <w:r>
        <w:rPr>
          <w:spacing w:val="-6"/>
        </w:rPr>
        <w:t xml:space="preserve"> </w:t>
      </w:r>
      <w:r>
        <w:t>(COs)</w:t>
      </w:r>
      <w:r>
        <w:rPr>
          <w:spacing w:val="-6"/>
        </w:rPr>
        <w:t xml:space="preserve"> </w:t>
      </w:r>
      <w:r>
        <w:t>often</w:t>
      </w:r>
      <w:r>
        <w:rPr>
          <w:spacing w:val="-6"/>
        </w:rPr>
        <w:t xml:space="preserve"> </w:t>
      </w:r>
      <w:r>
        <w:t>receive</w:t>
      </w:r>
      <w:r>
        <w:rPr>
          <w:spacing w:val="-6"/>
        </w:rPr>
        <w:t xml:space="preserve"> </w:t>
      </w:r>
      <w:r>
        <w:t>request</w:t>
      </w:r>
      <w:r>
        <w:rPr>
          <w:spacing w:val="-6"/>
        </w:rPr>
        <w:t xml:space="preserve"> </w:t>
      </w:r>
      <w:r>
        <w:t>from</w:t>
      </w:r>
      <w:r>
        <w:rPr>
          <w:spacing w:val="-6"/>
        </w:rPr>
        <w:t xml:space="preserve"> </w:t>
      </w:r>
      <w:r>
        <w:t>IPs</w:t>
      </w:r>
      <w:r>
        <w:rPr>
          <w:spacing w:val="-7"/>
        </w:rPr>
        <w:t xml:space="preserve"> </w:t>
      </w:r>
      <w:r>
        <w:t>to</w:t>
      </w:r>
      <w:r>
        <w:rPr>
          <w:spacing w:val="-5"/>
        </w:rPr>
        <w:t xml:space="preserve"> </w:t>
      </w:r>
      <w:r>
        <w:t>provide</w:t>
      </w:r>
      <w:r>
        <w:rPr>
          <w:spacing w:val="-6"/>
        </w:rPr>
        <w:t xml:space="preserve"> </w:t>
      </w:r>
      <w:r>
        <w:t>COS</w:t>
      </w:r>
      <w:r>
        <w:rPr>
          <w:spacing w:val="-7"/>
        </w:rPr>
        <w:t xml:space="preserve"> </w:t>
      </w:r>
      <w:r>
        <w:t>for</w:t>
      </w:r>
      <w:r>
        <w:rPr>
          <w:spacing w:val="-6"/>
        </w:rPr>
        <w:t xml:space="preserve"> </w:t>
      </w:r>
      <w:r>
        <w:t>a</w:t>
      </w:r>
      <w:r>
        <w:rPr>
          <w:spacing w:val="-9"/>
        </w:rPr>
        <w:t xml:space="preserve"> </w:t>
      </w:r>
      <w:r>
        <w:t>GEF-financed</w:t>
      </w:r>
      <w:r>
        <w:rPr>
          <w:spacing w:val="-7"/>
        </w:rPr>
        <w:t xml:space="preserve"> </w:t>
      </w:r>
      <w:r>
        <w:t>project,</w:t>
      </w:r>
      <w:r>
        <w:rPr>
          <w:spacing w:val="-4"/>
        </w:rPr>
        <w:t xml:space="preserve"> </w:t>
      </w:r>
      <w:r>
        <w:rPr>
          <w:b/>
        </w:rPr>
        <w:t xml:space="preserve">the GEF, by default, does not allow </w:t>
      </w:r>
      <w:r>
        <w:t>GEF Agencies to undertake both oversight of the IP (called oversight services) and execution support (i.e. COS) on behalf of the IP as this is a conflict of interest, except in exceptional cases and provided that clear firewalls are in</w:t>
      </w:r>
      <w:r>
        <w:rPr>
          <w:spacing w:val="-6"/>
        </w:rPr>
        <w:t xml:space="preserve"> </w:t>
      </w:r>
      <w:r>
        <w:t>place.</w:t>
      </w:r>
    </w:p>
    <w:p w14:paraId="269DFA1E" w14:textId="77777777" w:rsidR="00C23B76" w:rsidRDefault="00C23B76">
      <w:pPr>
        <w:pStyle w:val="BodyText"/>
        <w:spacing w:before="1"/>
      </w:pPr>
    </w:p>
    <w:p w14:paraId="269DFA1F" w14:textId="77777777" w:rsidR="00C23B76" w:rsidRDefault="00D65794">
      <w:pPr>
        <w:pStyle w:val="BodyText"/>
        <w:ind w:left="100" w:right="112"/>
        <w:jc w:val="both"/>
      </w:pPr>
      <w:r>
        <w:t xml:space="preserve">The separation of oversight functions performed by the GEF Agency and execution functions performed by the IP is a key feature of the governance of the GEF Partnership and an important aspect of the </w:t>
      </w:r>
      <w:hyperlink r:id="rId27">
        <w:r>
          <w:rPr>
            <w:color w:val="0000FF"/>
            <w:u w:val="single" w:color="0000FF"/>
          </w:rPr>
          <w:t>GEF</w:t>
        </w:r>
      </w:hyperlink>
      <w:r>
        <w:rPr>
          <w:color w:val="0000FF"/>
        </w:rPr>
        <w:t xml:space="preserve"> </w:t>
      </w:r>
      <w:hyperlink r:id="rId28">
        <w:r>
          <w:rPr>
            <w:color w:val="0000FF"/>
            <w:u w:val="single" w:color="0000FF"/>
          </w:rPr>
          <w:t>Policy on Minimum Fiduciary Standards</w:t>
        </w:r>
      </w:hyperlink>
      <w:r>
        <w:t>. GEF Agencies are the only legal entities accountable to the GEF Council</w:t>
      </w:r>
      <w:r>
        <w:rPr>
          <w:spacing w:val="-7"/>
        </w:rPr>
        <w:t xml:space="preserve"> </w:t>
      </w:r>
      <w:r>
        <w:t>for</w:t>
      </w:r>
      <w:r>
        <w:rPr>
          <w:spacing w:val="-8"/>
        </w:rPr>
        <w:t xml:space="preserve"> </w:t>
      </w:r>
      <w:r>
        <w:t>the</w:t>
      </w:r>
      <w:r>
        <w:rPr>
          <w:spacing w:val="-8"/>
        </w:rPr>
        <w:t xml:space="preserve"> </w:t>
      </w:r>
      <w:r>
        <w:t>operational</w:t>
      </w:r>
      <w:r>
        <w:rPr>
          <w:spacing w:val="-9"/>
        </w:rPr>
        <w:t xml:space="preserve"> </w:t>
      </w:r>
      <w:r>
        <w:t>use</w:t>
      </w:r>
      <w:r>
        <w:rPr>
          <w:spacing w:val="-8"/>
        </w:rPr>
        <w:t xml:space="preserve"> </w:t>
      </w:r>
      <w:r>
        <w:t>of</w:t>
      </w:r>
      <w:r>
        <w:rPr>
          <w:spacing w:val="-6"/>
        </w:rPr>
        <w:t xml:space="preserve"> </w:t>
      </w:r>
      <w:r>
        <w:t>GEF</w:t>
      </w:r>
      <w:r>
        <w:rPr>
          <w:spacing w:val="-7"/>
        </w:rPr>
        <w:t xml:space="preserve"> </w:t>
      </w:r>
      <w:r>
        <w:t>financing.</w:t>
      </w:r>
      <w:r>
        <w:rPr>
          <w:spacing w:val="-9"/>
        </w:rPr>
        <w:t xml:space="preserve"> </w:t>
      </w:r>
      <w:r>
        <w:t>Their</w:t>
      </w:r>
      <w:r>
        <w:rPr>
          <w:spacing w:val="-9"/>
        </w:rPr>
        <w:t xml:space="preserve"> </w:t>
      </w:r>
      <w:r>
        <w:t>exercise</w:t>
      </w:r>
      <w:r>
        <w:rPr>
          <w:spacing w:val="-7"/>
        </w:rPr>
        <w:t xml:space="preserve"> </w:t>
      </w:r>
      <w:r>
        <w:t>of</w:t>
      </w:r>
      <w:r>
        <w:rPr>
          <w:spacing w:val="-8"/>
        </w:rPr>
        <w:t xml:space="preserve"> </w:t>
      </w:r>
      <w:r>
        <w:t>such</w:t>
      </w:r>
      <w:r>
        <w:rPr>
          <w:spacing w:val="-7"/>
        </w:rPr>
        <w:t xml:space="preserve"> </w:t>
      </w:r>
      <w:r>
        <w:t>legal</w:t>
      </w:r>
      <w:r>
        <w:rPr>
          <w:spacing w:val="-6"/>
        </w:rPr>
        <w:t xml:space="preserve"> </w:t>
      </w:r>
      <w:r>
        <w:t>personality</w:t>
      </w:r>
      <w:r>
        <w:rPr>
          <w:spacing w:val="-6"/>
        </w:rPr>
        <w:t xml:space="preserve"> </w:t>
      </w:r>
      <w:r>
        <w:t>in</w:t>
      </w:r>
      <w:r>
        <w:rPr>
          <w:spacing w:val="-9"/>
        </w:rPr>
        <w:t xml:space="preserve"> </w:t>
      </w:r>
      <w:r>
        <w:t>the</w:t>
      </w:r>
      <w:r>
        <w:rPr>
          <w:spacing w:val="-8"/>
        </w:rPr>
        <w:t xml:space="preserve"> </w:t>
      </w:r>
      <w:r>
        <w:t>supervision and oversight of execution activities is, therefore, critical to the operations of the GEF</w:t>
      </w:r>
      <w:r>
        <w:rPr>
          <w:spacing w:val="-19"/>
        </w:rPr>
        <w:t xml:space="preserve"> </w:t>
      </w:r>
      <w:r>
        <w:t>Partnership.</w:t>
      </w:r>
    </w:p>
    <w:p w14:paraId="269DFA20" w14:textId="77777777" w:rsidR="00C23B76" w:rsidRDefault="00C23B76">
      <w:pPr>
        <w:pStyle w:val="BodyText"/>
      </w:pPr>
    </w:p>
    <w:p w14:paraId="269DFA21" w14:textId="77777777" w:rsidR="00C23B76" w:rsidRDefault="00D65794">
      <w:pPr>
        <w:pStyle w:val="Heading1"/>
        <w:numPr>
          <w:ilvl w:val="0"/>
          <w:numId w:val="11"/>
        </w:numPr>
        <w:tabs>
          <w:tab w:val="left" w:pos="461"/>
        </w:tabs>
        <w:ind w:hanging="361"/>
      </w:pPr>
      <w:r>
        <w:t>GEF Services, exceptions and</w:t>
      </w:r>
      <w:r>
        <w:rPr>
          <w:spacing w:val="-6"/>
        </w:rPr>
        <w:t xml:space="preserve"> </w:t>
      </w:r>
      <w:r>
        <w:t>conditions:</w:t>
      </w:r>
    </w:p>
    <w:p w14:paraId="269DFA22" w14:textId="77777777" w:rsidR="00C23B76" w:rsidRDefault="00C23B76">
      <w:pPr>
        <w:pStyle w:val="BodyText"/>
        <w:rPr>
          <w:b/>
        </w:rPr>
      </w:pPr>
    </w:p>
    <w:p w14:paraId="269DFA23" w14:textId="74EE3026" w:rsidR="00C23B76" w:rsidRDefault="00D65794">
      <w:pPr>
        <w:pStyle w:val="BodyText"/>
        <w:ind w:left="100" w:right="112"/>
        <w:jc w:val="both"/>
      </w:pPr>
      <w:r>
        <w:rPr>
          <w:b/>
        </w:rPr>
        <w:t>Oversight services</w:t>
      </w:r>
      <w:r>
        <w:t xml:space="preserve">: GEF Agencies are provided a </w:t>
      </w:r>
      <w:hyperlink r:id="rId29">
        <w:r>
          <w:rPr>
            <w:color w:val="0000FF"/>
            <w:u w:val="single" w:color="0000FF"/>
          </w:rPr>
          <w:t>Fee</w:t>
        </w:r>
        <w:r>
          <w:rPr>
            <w:color w:val="0000FF"/>
          </w:rPr>
          <w:t xml:space="preserve"> </w:t>
        </w:r>
      </w:hyperlink>
      <w:r>
        <w:t>to oversee the execution of a GEF project led by the IP. Oversight is provided to ensure project execution is being carried out according to UNDP and GEF standards and requirements. Should a GEF project be cancelled, and therefore oversight is no longer required, the Fee must be returned to the GEF as per GEF guidelines. See Annex B</w:t>
      </w:r>
      <w:r w:rsidR="00E70834">
        <w:t xml:space="preserve"> </w:t>
      </w:r>
      <w:r>
        <w:t>for a list of the GEF oversight services as defined by the GEF Council.</w:t>
      </w:r>
    </w:p>
    <w:p w14:paraId="269DFA24" w14:textId="77777777" w:rsidR="00C23B76" w:rsidRDefault="00C23B76">
      <w:pPr>
        <w:pStyle w:val="BodyText"/>
        <w:spacing w:before="11"/>
        <w:rPr>
          <w:sz w:val="21"/>
        </w:rPr>
      </w:pPr>
    </w:p>
    <w:p w14:paraId="269DFA25" w14:textId="77777777" w:rsidR="00C23B76" w:rsidRDefault="00D65794">
      <w:pPr>
        <w:pStyle w:val="BodyText"/>
        <w:spacing w:before="1"/>
        <w:ind w:left="100" w:right="114"/>
        <w:jc w:val="both"/>
      </w:pPr>
      <w:r>
        <w:rPr>
          <w:b/>
        </w:rPr>
        <w:t>Execution support</w:t>
      </w:r>
      <w:r>
        <w:t>: The IP for a GEF project executes the project under the supervision of a GEF Agency. Execution generally includes the management and administration of the day-to-day activities of projects in accordance with specific project requirements outlined in the UNDP-GEF Project Document. The capacity of the IP is assessed during project design (using PCAT and HACT). Execution implies accountability for intended and appropriate use of funds, procurement and contracting. The costs of execution are covered by the GEF project budget under project management costs (PMC).</w:t>
      </w:r>
    </w:p>
    <w:p w14:paraId="269DFA26" w14:textId="77777777" w:rsidR="00C23B76" w:rsidRDefault="00C23B76">
      <w:pPr>
        <w:pStyle w:val="BodyText"/>
        <w:spacing w:before="11"/>
        <w:rPr>
          <w:sz w:val="21"/>
        </w:rPr>
      </w:pPr>
    </w:p>
    <w:p w14:paraId="269DFA27" w14:textId="77777777" w:rsidR="00C23B76" w:rsidRDefault="00D65794">
      <w:pPr>
        <w:spacing w:before="1"/>
        <w:ind w:left="100" w:right="113" w:hanging="2"/>
        <w:jc w:val="center"/>
      </w:pPr>
      <w:r>
        <w:rPr>
          <w:b/>
        </w:rPr>
        <w:t>Exceptions and conditions for a GEF Agency to provide execution support</w:t>
      </w:r>
      <w:r>
        <w:t>: GEF policies preclude the merging or crossing over of oversight functions undertaken by GEF Agencies and execution functions</w:t>
      </w:r>
    </w:p>
    <w:p w14:paraId="269DFA28" w14:textId="77777777" w:rsidR="00C23B76" w:rsidRDefault="00C23B76">
      <w:pPr>
        <w:jc w:val="center"/>
        <w:sectPr w:rsidR="00C23B76">
          <w:headerReference w:type="default" r:id="rId30"/>
          <w:footerReference w:type="default" r:id="rId31"/>
          <w:pgSz w:w="12240" w:h="15840"/>
          <w:pgMar w:top="1340" w:right="1320" w:bottom="1500" w:left="1340" w:header="182" w:footer="1314" w:gutter="0"/>
          <w:pgNumType w:start="1"/>
          <w:cols w:space="720"/>
        </w:sectPr>
      </w:pPr>
    </w:p>
    <w:p w14:paraId="269DFA29" w14:textId="77777777" w:rsidR="00C23B76" w:rsidRDefault="00D65794">
      <w:pPr>
        <w:pStyle w:val="BodyText"/>
        <w:spacing w:before="90"/>
        <w:ind w:left="100" w:right="98"/>
      </w:pPr>
      <w:r>
        <w:lastRenderedPageBreak/>
        <w:t xml:space="preserve">undertaken by IP as this is a conflict of interest. However, in </w:t>
      </w:r>
      <w:r>
        <w:rPr>
          <w:u w:val="single"/>
        </w:rPr>
        <w:t>exceptional cases</w:t>
      </w:r>
      <w:r>
        <w:t xml:space="preserve"> the same GEF Agency may carry out both functions, under the following requirements and </w:t>
      </w:r>
      <w:r>
        <w:rPr>
          <w:u w:val="single"/>
        </w:rPr>
        <w:t>conditions</w:t>
      </w:r>
      <w:r>
        <w:t>:</w:t>
      </w:r>
    </w:p>
    <w:p w14:paraId="269DFA2A" w14:textId="77777777" w:rsidR="00C23B76" w:rsidRDefault="00C23B76">
      <w:pPr>
        <w:pStyle w:val="BodyText"/>
        <w:spacing w:before="6"/>
        <w:rPr>
          <w:sz w:val="17"/>
        </w:rPr>
      </w:pPr>
    </w:p>
    <w:p w14:paraId="269DFA2B" w14:textId="77777777" w:rsidR="00C23B76" w:rsidRDefault="00D65794">
      <w:pPr>
        <w:pStyle w:val="ListParagraph"/>
        <w:numPr>
          <w:ilvl w:val="1"/>
          <w:numId w:val="11"/>
        </w:numPr>
        <w:tabs>
          <w:tab w:val="left" w:pos="821"/>
        </w:tabs>
        <w:spacing w:before="56" w:line="267" w:lineRule="exact"/>
        <w:ind w:hanging="361"/>
        <w:jc w:val="both"/>
      </w:pPr>
      <w:r>
        <w:t>When required by the GEF Agency in accordance with its policy requirements,</w:t>
      </w:r>
      <w:r>
        <w:rPr>
          <w:spacing w:val="-11"/>
        </w:rPr>
        <w:t xml:space="preserve"> </w:t>
      </w:r>
      <w:r>
        <w:t>and</w:t>
      </w:r>
    </w:p>
    <w:p w14:paraId="269DFA2C" w14:textId="77777777" w:rsidR="00C23B76" w:rsidRDefault="00D65794">
      <w:pPr>
        <w:pStyle w:val="ListParagraph"/>
        <w:numPr>
          <w:ilvl w:val="1"/>
          <w:numId w:val="11"/>
        </w:numPr>
        <w:tabs>
          <w:tab w:val="left" w:pos="821"/>
        </w:tabs>
        <w:ind w:right="116"/>
        <w:jc w:val="both"/>
      </w:pPr>
      <w:r>
        <w:t>When</w:t>
      </w:r>
      <w:r>
        <w:rPr>
          <w:spacing w:val="-5"/>
        </w:rPr>
        <w:t xml:space="preserve"> </w:t>
      </w:r>
      <w:r>
        <w:t>the</w:t>
      </w:r>
      <w:r>
        <w:rPr>
          <w:spacing w:val="-7"/>
        </w:rPr>
        <w:t xml:space="preserve"> </w:t>
      </w:r>
      <w:r>
        <w:t>beneficiary</w:t>
      </w:r>
      <w:r>
        <w:rPr>
          <w:spacing w:val="-3"/>
        </w:rPr>
        <w:t xml:space="preserve"> </w:t>
      </w:r>
      <w:r>
        <w:t>country</w:t>
      </w:r>
      <w:r>
        <w:rPr>
          <w:spacing w:val="-4"/>
        </w:rPr>
        <w:t xml:space="preserve"> </w:t>
      </w:r>
      <w:r>
        <w:t>requests</w:t>
      </w:r>
      <w:r>
        <w:rPr>
          <w:spacing w:val="-6"/>
        </w:rPr>
        <w:t xml:space="preserve"> </w:t>
      </w:r>
      <w:r>
        <w:t>the</w:t>
      </w:r>
      <w:r>
        <w:rPr>
          <w:spacing w:val="-4"/>
        </w:rPr>
        <w:t xml:space="preserve"> </w:t>
      </w:r>
      <w:r>
        <w:t>GEF</w:t>
      </w:r>
      <w:r>
        <w:rPr>
          <w:spacing w:val="-5"/>
        </w:rPr>
        <w:t xml:space="preserve"> </w:t>
      </w:r>
      <w:r>
        <w:t>Agency</w:t>
      </w:r>
      <w:r>
        <w:rPr>
          <w:spacing w:val="-3"/>
        </w:rPr>
        <w:t xml:space="preserve"> </w:t>
      </w:r>
      <w:r>
        <w:t>to</w:t>
      </w:r>
      <w:r>
        <w:rPr>
          <w:spacing w:val="-3"/>
        </w:rPr>
        <w:t xml:space="preserve"> </w:t>
      </w:r>
      <w:r>
        <w:t>provide</w:t>
      </w:r>
      <w:r>
        <w:rPr>
          <w:spacing w:val="-5"/>
        </w:rPr>
        <w:t xml:space="preserve"> </w:t>
      </w:r>
      <w:r>
        <w:t>execution</w:t>
      </w:r>
      <w:r>
        <w:rPr>
          <w:spacing w:val="-5"/>
        </w:rPr>
        <w:t xml:space="preserve"> </w:t>
      </w:r>
      <w:r>
        <w:t>support</w:t>
      </w:r>
      <w:r>
        <w:rPr>
          <w:spacing w:val="-4"/>
        </w:rPr>
        <w:t xml:space="preserve"> </w:t>
      </w:r>
      <w:r>
        <w:t>as</w:t>
      </w:r>
      <w:r>
        <w:rPr>
          <w:spacing w:val="-6"/>
        </w:rPr>
        <w:t xml:space="preserve"> </w:t>
      </w:r>
      <w:r>
        <w:t>specified in a GEF letter of support from the GEF OFP (using a GEF template) submitted before or by the time of CEO Endorsement/Approval at the latest,</w:t>
      </w:r>
      <w:r>
        <w:rPr>
          <w:spacing w:val="-11"/>
        </w:rPr>
        <w:t xml:space="preserve"> </w:t>
      </w:r>
      <w:r>
        <w:t>and</w:t>
      </w:r>
    </w:p>
    <w:p w14:paraId="269DFA2D" w14:textId="77777777" w:rsidR="00C23B76" w:rsidRDefault="00D65794">
      <w:pPr>
        <w:pStyle w:val="ListParagraph"/>
        <w:numPr>
          <w:ilvl w:val="1"/>
          <w:numId w:val="11"/>
        </w:numPr>
        <w:tabs>
          <w:tab w:val="left" w:pos="821"/>
        </w:tabs>
        <w:ind w:hanging="361"/>
        <w:jc w:val="both"/>
      </w:pPr>
      <w:r>
        <w:t>The GEF Secretariat assesses the request and decides whether to approve</w:t>
      </w:r>
      <w:r>
        <w:rPr>
          <w:spacing w:val="-13"/>
        </w:rPr>
        <w:t xml:space="preserve"> </w:t>
      </w:r>
      <w:r>
        <w:t>it.</w:t>
      </w:r>
    </w:p>
    <w:p w14:paraId="269DFA2E" w14:textId="77777777" w:rsidR="00C23B76" w:rsidRDefault="00D65794">
      <w:pPr>
        <w:pStyle w:val="ListParagraph"/>
        <w:numPr>
          <w:ilvl w:val="1"/>
          <w:numId w:val="11"/>
        </w:numPr>
        <w:tabs>
          <w:tab w:val="left" w:pos="821"/>
        </w:tabs>
        <w:ind w:right="113"/>
        <w:jc w:val="both"/>
      </w:pPr>
      <w:r>
        <w:t>In the exceptional cases where a GEF Agency carries out both implementation and execution functions</w:t>
      </w:r>
      <w:r>
        <w:rPr>
          <w:spacing w:val="-14"/>
        </w:rPr>
        <w:t xml:space="preserve"> </w:t>
      </w:r>
      <w:r>
        <w:t>of</w:t>
      </w:r>
      <w:r>
        <w:rPr>
          <w:spacing w:val="-12"/>
        </w:rPr>
        <w:t xml:space="preserve"> </w:t>
      </w:r>
      <w:r>
        <w:t>a</w:t>
      </w:r>
      <w:r>
        <w:rPr>
          <w:spacing w:val="-11"/>
        </w:rPr>
        <w:t xml:space="preserve"> </w:t>
      </w:r>
      <w:r>
        <w:t>project,</w:t>
      </w:r>
      <w:r>
        <w:rPr>
          <w:spacing w:val="-14"/>
        </w:rPr>
        <w:t xml:space="preserve"> </w:t>
      </w:r>
      <w:r>
        <w:t>the</w:t>
      </w:r>
      <w:r>
        <w:rPr>
          <w:spacing w:val="-10"/>
        </w:rPr>
        <w:t xml:space="preserve"> </w:t>
      </w:r>
      <w:r>
        <w:t>following</w:t>
      </w:r>
      <w:r>
        <w:rPr>
          <w:spacing w:val="-13"/>
        </w:rPr>
        <w:t xml:space="preserve"> </w:t>
      </w:r>
      <w:r>
        <w:t>conditions</w:t>
      </w:r>
      <w:r>
        <w:rPr>
          <w:spacing w:val="-11"/>
        </w:rPr>
        <w:t xml:space="preserve"> </w:t>
      </w:r>
      <w:r>
        <w:t>apply</w:t>
      </w:r>
      <w:r>
        <w:rPr>
          <w:spacing w:val="-12"/>
        </w:rPr>
        <w:t xml:space="preserve"> </w:t>
      </w:r>
      <w:r>
        <w:t>to</w:t>
      </w:r>
      <w:r>
        <w:rPr>
          <w:spacing w:val="-10"/>
        </w:rPr>
        <w:t xml:space="preserve"> </w:t>
      </w:r>
      <w:r>
        <w:t>separate</w:t>
      </w:r>
      <w:r>
        <w:rPr>
          <w:spacing w:val="-10"/>
        </w:rPr>
        <w:t xml:space="preserve"> </w:t>
      </w:r>
      <w:r>
        <w:t>project</w:t>
      </w:r>
      <w:r>
        <w:rPr>
          <w:spacing w:val="-11"/>
        </w:rPr>
        <w:t xml:space="preserve"> </w:t>
      </w:r>
      <w:r>
        <w:t>oversight</w:t>
      </w:r>
      <w:r>
        <w:rPr>
          <w:spacing w:val="-11"/>
        </w:rPr>
        <w:t xml:space="preserve"> </w:t>
      </w:r>
      <w:r>
        <w:t>from</w:t>
      </w:r>
      <w:r>
        <w:rPr>
          <w:spacing w:val="-9"/>
        </w:rPr>
        <w:t xml:space="preserve"> </w:t>
      </w:r>
      <w:r>
        <w:t>execution responsibilities to avoid the conflict of</w:t>
      </w:r>
      <w:r>
        <w:rPr>
          <w:spacing w:val="-4"/>
        </w:rPr>
        <w:t xml:space="preserve"> </w:t>
      </w:r>
      <w:r>
        <w:t>interest:</w:t>
      </w:r>
    </w:p>
    <w:p w14:paraId="269DFA2F" w14:textId="77777777" w:rsidR="00C23B76" w:rsidRDefault="00D65794">
      <w:pPr>
        <w:pStyle w:val="ListParagraph"/>
        <w:numPr>
          <w:ilvl w:val="2"/>
          <w:numId w:val="11"/>
        </w:numPr>
        <w:tabs>
          <w:tab w:val="left" w:pos="1540"/>
          <w:tab w:val="left" w:pos="1541"/>
        </w:tabs>
        <w:spacing w:before="1"/>
        <w:ind w:right="116"/>
      </w:pPr>
      <w:r>
        <w:t>A satisfactory institutional arrangement for the separation of implementation and executing functions in different departments of the GEF Agency;</w:t>
      </w:r>
      <w:r>
        <w:rPr>
          <w:spacing w:val="-11"/>
        </w:rPr>
        <w:t xml:space="preserve"> </w:t>
      </w:r>
      <w:r>
        <w:t>and</w:t>
      </w:r>
    </w:p>
    <w:p w14:paraId="269DFA30" w14:textId="77777777" w:rsidR="00C23B76" w:rsidRDefault="00D65794">
      <w:pPr>
        <w:pStyle w:val="ListParagraph"/>
        <w:numPr>
          <w:ilvl w:val="2"/>
          <w:numId w:val="11"/>
        </w:numPr>
        <w:tabs>
          <w:tab w:val="left" w:pos="1540"/>
          <w:tab w:val="left" w:pos="1541"/>
        </w:tabs>
        <w:ind w:right="116"/>
      </w:pPr>
      <w:r>
        <w:t>Clear lines of responsibility, reporting, monitoring and evaluation and accountability within the GEF Agency between the project implementation and execution</w:t>
      </w:r>
      <w:r>
        <w:rPr>
          <w:spacing w:val="-20"/>
        </w:rPr>
        <w:t xml:space="preserve"> </w:t>
      </w:r>
      <w:r>
        <w:t>functions.</w:t>
      </w:r>
    </w:p>
    <w:p w14:paraId="269DFA31" w14:textId="77777777" w:rsidR="00C23B76" w:rsidRDefault="00D65794">
      <w:pPr>
        <w:pStyle w:val="ListParagraph"/>
        <w:numPr>
          <w:ilvl w:val="2"/>
          <w:numId w:val="11"/>
        </w:numPr>
        <w:tabs>
          <w:tab w:val="left" w:pos="1540"/>
          <w:tab w:val="left" w:pos="1541"/>
        </w:tabs>
        <w:ind w:right="116"/>
      </w:pPr>
      <w:r>
        <w:t>Segregation</w:t>
      </w:r>
      <w:r>
        <w:rPr>
          <w:spacing w:val="-16"/>
        </w:rPr>
        <w:t xml:space="preserve"> </w:t>
      </w:r>
      <w:r>
        <w:t>of</w:t>
      </w:r>
      <w:r>
        <w:rPr>
          <w:spacing w:val="-12"/>
        </w:rPr>
        <w:t xml:space="preserve"> </w:t>
      </w:r>
      <w:r>
        <w:t>duties</w:t>
      </w:r>
      <w:r>
        <w:rPr>
          <w:spacing w:val="-12"/>
        </w:rPr>
        <w:t xml:space="preserve"> </w:t>
      </w:r>
      <w:r>
        <w:t>is</w:t>
      </w:r>
      <w:r>
        <w:rPr>
          <w:spacing w:val="-12"/>
        </w:rPr>
        <w:t xml:space="preserve"> </w:t>
      </w:r>
      <w:r>
        <w:t>to</w:t>
      </w:r>
      <w:r>
        <w:rPr>
          <w:spacing w:val="-12"/>
        </w:rPr>
        <w:t xml:space="preserve"> </w:t>
      </w:r>
      <w:r>
        <w:t>be</w:t>
      </w:r>
      <w:r>
        <w:rPr>
          <w:spacing w:val="-11"/>
        </w:rPr>
        <w:t xml:space="preserve"> </w:t>
      </w:r>
      <w:r>
        <w:t>maintained</w:t>
      </w:r>
      <w:r>
        <w:rPr>
          <w:spacing w:val="-13"/>
        </w:rPr>
        <w:t xml:space="preserve"> </w:t>
      </w:r>
      <w:r>
        <w:t>in</w:t>
      </w:r>
      <w:r>
        <w:rPr>
          <w:spacing w:val="-13"/>
        </w:rPr>
        <w:t xml:space="preserve"> </w:t>
      </w:r>
      <w:r>
        <w:t>the</w:t>
      </w:r>
      <w:r>
        <w:rPr>
          <w:spacing w:val="-13"/>
        </w:rPr>
        <w:t xml:space="preserve"> </w:t>
      </w:r>
      <w:r>
        <w:t>following</w:t>
      </w:r>
      <w:r>
        <w:rPr>
          <w:spacing w:val="-13"/>
        </w:rPr>
        <w:t xml:space="preserve"> </w:t>
      </w:r>
      <w:r>
        <w:t>areas,</w:t>
      </w:r>
      <w:r>
        <w:rPr>
          <w:spacing w:val="-13"/>
        </w:rPr>
        <w:t xml:space="preserve"> </w:t>
      </w:r>
      <w:r>
        <w:t>at</w:t>
      </w:r>
      <w:r>
        <w:rPr>
          <w:spacing w:val="-12"/>
        </w:rPr>
        <w:t xml:space="preserve"> </w:t>
      </w:r>
      <w:r>
        <w:t>a</w:t>
      </w:r>
      <w:r>
        <w:rPr>
          <w:spacing w:val="-13"/>
        </w:rPr>
        <w:t xml:space="preserve"> </w:t>
      </w:r>
      <w:r>
        <w:t>minimum:</w:t>
      </w:r>
      <w:r>
        <w:rPr>
          <w:spacing w:val="-11"/>
        </w:rPr>
        <w:t xml:space="preserve"> </w:t>
      </w:r>
      <w:r>
        <w:t>settlement processing, procurement processing, risk management/reconciliations and</w:t>
      </w:r>
      <w:r>
        <w:rPr>
          <w:spacing w:val="-14"/>
        </w:rPr>
        <w:t xml:space="preserve"> </w:t>
      </w:r>
      <w:r>
        <w:t>accounting.</w:t>
      </w:r>
    </w:p>
    <w:p w14:paraId="269DFA32" w14:textId="77777777" w:rsidR="00C23B76" w:rsidRDefault="00D65794">
      <w:pPr>
        <w:pStyle w:val="ListParagraph"/>
        <w:numPr>
          <w:ilvl w:val="2"/>
          <w:numId w:val="11"/>
        </w:numPr>
        <w:tabs>
          <w:tab w:val="left" w:pos="1541"/>
        </w:tabs>
        <w:spacing w:before="1"/>
        <w:ind w:right="116"/>
        <w:jc w:val="both"/>
      </w:pPr>
      <w:r>
        <w:t>Related roles and duties of the separate responsible units within the Agency are subject to a regular review by Agency management and action by the Agency is required when discrepancies and exceptions are</w:t>
      </w:r>
      <w:r>
        <w:rPr>
          <w:spacing w:val="-3"/>
        </w:rPr>
        <w:t xml:space="preserve"> </w:t>
      </w:r>
      <w:r>
        <w:t>noted.</w:t>
      </w:r>
    </w:p>
    <w:p w14:paraId="269DFA33" w14:textId="77777777" w:rsidR="00C23B76" w:rsidRDefault="00C23B76">
      <w:pPr>
        <w:pStyle w:val="BodyText"/>
        <w:spacing w:before="10"/>
        <w:rPr>
          <w:sz w:val="21"/>
        </w:rPr>
      </w:pPr>
    </w:p>
    <w:p w14:paraId="269DFA34" w14:textId="77777777" w:rsidR="00C23B76" w:rsidRDefault="00D65794">
      <w:pPr>
        <w:pStyle w:val="BodyText"/>
        <w:spacing w:before="1"/>
        <w:ind w:left="100" w:right="115"/>
        <w:jc w:val="both"/>
      </w:pPr>
      <w:r>
        <w:rPr>
          <w:b/>
        </w:rPr>
        <w:t xml:space="preserve">GEF eligible execution support: </w:t>
      </w:r>
      <w:r>
        <w:t>Execution functions to be charged to the GEF grant are financed through Project Management Costs (PMC), which are funded partly by the GEF funding and partly by the counterpart funding of the beneficiary government or other co-financing resources:</w:t>
      </w:r>
    </w:p>
    <w:p w14:paraId="269DFA35" w14:textId="77777777" w:rsidR="00C23B76" w:rsidRDefault="00D65794">
      <w:pPr>
        <w:pStyle w:val="ListParagraph"/>
        <w:numPr>
          <w:ilvl w:val="0"/>
          <w:numId w:val="10"/>
        </w:numPr>
        <w:tabs>
          <w:tab w:val="left" w:pos="821"/>
        </w:tabs>
        <w:spacing w:before="120"/>
        <w:ind w:right="211"/>
        <w:jc w:val="both"/>
      </w:pPr>
      <w:r>
        <w:t>The GEF has capped PMC at 5% of the GEF grant for full-size projects and 10% for medium sized projects and enabling</w:t>
      </w:r>
      <w:r>
        <w:rPr>
          <w:spacing w:val="-2"/>
        </w:rPr>
        <w:t xml:space="preserve"> </w:t>
      </w:r>
      <w:r>
        <w:t>activities.</w:t>
      </w:r>
    </w:p>
    <w:p w14:paraId="269DFA36" w14:textId="77777777" w:rsidR="00C23B76" w:rsidRDefault="00D65794">
      <w:pPr>
        <w:pStyle w:val="ListParagraph"/>
        <w:numPr>
          <w:ilvl w:val="0"/>
          <w:numId w:val="10"/>
        </w:numPr>
        <w:tabs>
          <w:tab w:val="left" w:pos="821"/>
        </w:tabs>
        <w:spacing w:before="1"/>
        <w:ind w:hanging="361"/>
        <w:jc w:val="both"/>
      </w:pPr>
      <w:r>
        <w:t>The co-financing to PMC should be commensurate with the GEF grant amount to</w:t>
      </w:r>
      <w:r>
        <w:rPr>
          <w:spacing w:val="-19"/>
        </w:rPr>
        <w:t xml:space="preserve"> </w:t>
      </w:r>
      <w:r>
        <w:t>PMC.</w:t>
      </w:r>
    </w:p>
    <w:p w14:paraId="269DFA37" w14:textId="77777777" w:rsidR="00C23B76" w:rsidRDefault="00C23B76">
      <w:pPr>
        <w:pStyle w:val="BodyText"/>
        <w:spacing w:before="1"/>
      </w:pPr>
    </w:p>
    <w:p w14:paraId="269DFA38" w14:textId="77777777" w:rsidR="00C23B76" w:rsidRDefault="00D65794">
      <w:pPr>
        <w:pStyle w:val="BodyText"/>
        <w:spacing w:line="267" w:lineRule="exact"/>
        <w:ind w:left="100"/>
      </w:pPr>
      <w:r>
        <w:rPr>
          <w:u w:val="single"/>
        </w:rPr>
        <w:t>Support that is eligible and can be charged to PMC:</w:t>
      </w:r>
    </w:p>
    <w:p w14:paraId="269DFA39" w14:textId="77777777" w:rsidR="00C23B76" w:rsidRDefault="00D65794">
      <w:pPr>
        <w:pStyle w:val="ListParagraph"/>
        <w:numPr>
          <w:ilvl w:val="0"/>
          <w:numId w:val="9"/>
        </w:numPr>
        <w:tabs>
          <w:tab w:val="left" w:pos="821"/>
        </w:tabs>
        <w:ind w:right="263"/>
      </w:pPr>
      <w:r>
        <w:t>Staffing costs, including: Project manager; Project assistant technical specialist(s);</w:t>
      </w:r>
      <w:r>
        <w:rPr>
          <w:spacing w:val="-32"/>
        </w:rPr>
        <w:t xml:space="preserve"> </w:t>
      </w:r>
      <w:r>
        <w:t>Procurement specialist; and/or Financial</w:t>
      </w:r>
      <w:r>
        <w:rPr>
          <w:spacing w:val="-6"/>
        </w:rPr>
        <w:t xml:space="preserve"> </w:t>
      </w:r>
      <w:r>
        <w:t>specialist.</w:t>
      </w:r>
    </w:p>
    <w:p w14:paraId="269DFA3A" w14:textId="77777777" w:rsidR="00C23B76" w:rsidRDefault="00D65794">
      <w:pPr>
        <w:pStyle w:val="ListParagraph"/>
        <w:numPr>
          <w:ilvl w:val="0"/>
          <w:numId w:val="9"/>
        </w:numPr>
        <w:tabs>
          <w:tab w:val="left" w:pos="821"/>
        </w:tabs>
        <w:ind w:hanging="361"/>
      </w:pPr>
      <w:r>
        <w:t>Project-related activities</w:t>
      </w:r>
      <w:r>
        <w:rPr>
          <w:spacing w:val="-7"/>
        </w:rPr>
        <w:t xml:space="preserve"> </w:t>
      </w:r>
      <w:r>
        <w:t>including:</w:t>
      </w:r>
    </w:p>
    <w:p w14:paraId="269DFA3B" w14:textId="77777777" w:rsidR="00C23B76" w:rsidRDefault="00D65794">
      <w:pPr>
        <w:pStyle w:val="ListParagraph"/>
        <w:numPr>
          <w:ilvl w:val="1"/>
          <w:numId w:val="9"/>
        </w:numPr>
        <w:tabs>
          <w:tab w:val="left" w:pos="1540"/>
          <w:tab w:val="left" w:pos="1541"/>
        </w:tabs>
        <w:ind w:hanging="361"/>
      </w:pPr>
      <w:r>
        <w:t>Preparation of procurement</w:t>
      </w:r>
      <w:r>
        <w:rPr>
          <w:spacing w:val="-4"/>
        </w:rPr>
        <w:t xml:space="preserve"> </w:t>
      </w:r>
      <w:r>
        <w:t>plans;</w:t>
      </w:r>
    </w:p>
    <w:p w14:paraId="269DFA3C" w14:textId="77777777" w:rsidR="00C23B76" w:rsidRDefault="00D65794">
      <w:pPr>
        <w:pStyle w:val="ListParagraph"/>
        <w:numPr>
          <w:ilvl w:val="1"/>
          <w:numId w:val="9"/>
        </w:numPr>
        <w:tabs>
          <w:tab w:val="left" w:pos="1540"/>
          <w:tab w:val="left" w:pos="1541"/>
        </w:tabs>
        <w:ind w:hanging="361"/>
      </w:pPr>
      <w:r>
        <w:t>Terms of reference and procurement</w:t>
      </w:r>
      <w:r>
        <w:rPr>
          <w:spacing w:val="-2"/>
        </w:rPr>
        <w:t xml:space="preserve"> </w:t>
      </w:r>
      <w:r>
        <w:t>packages;</w:t>
      </w:r>
    </w:p>
    <w:p w14:paraId="269DFA3D" w14:textId="77777777" w:rsidR="00C23B76" w:rsidRDefault="00D65794">
      <w:pPr>
        <w:pStyle w:val="ListParagraph"/>
        <w:numPr>
          <w:ilvl w:val="1"/>
          <w:numId w:val="9"/>
        </w:numPr>
        <w:tabs>
          <w:tab w:val="left" w:pos="1540"/>
          <w:tab w:val="left" w:pos="1541"/>
        </w:tabs>
        <w:spacing w:before="1" w:line="279" w:lineRule="exact"/>
        <w:ind w:hanging="361"/>
      </w:pPr>
      <w:r>
        <w:t>Management of consultant</w:t>
      </w:r>
      <w:r>
        <w:rPr>
          <w:spacing w:val="-7"/>
        </w:rPr>
        <w:t xml:space="preserve"> </w:t>
      </w:r>
      <w:r>
        <w:t>activities;</w:t>
      </w:r>
    </w:p>
    <w:p w14:paraId="269DFA3E" w14:textId="77777777" w:rsidR="00C23B76" w:rsidRDefault="00D65794">
      <w:pPr>
        <w:pStyle w:val="ListParagraph"/>
        <w:numPr>
          <w:ilvl w:val="1"/>
          <w:numId w:val="9"/>
        </w:numPr>
        <w:tabs>
          <w:tab w:val="left" w:pos="1540"/>
          <w:tab w:val="left" w:pos="1541"/>
        </w:tabs>
        <w:spacing w:line="279" w:lineRule="exact"/>
        <w:ind w:hanging="361"/>
      </w:pPr>
      <w:r>
        <w:t>Management of output</w:t>
      </w:r>
      <w:r>
        <w:rPr>
          <w:spacing w:val="-5"/>
        </w:rPr>
        <w:t xml:space="preserve"> </w:t>
      </w:r>
      <w:r>
        <w:t>deliverables;</w:t>
      </w:r>
    </w:p>
    <w:p w14:paraId="269DFA3F" w14:textId="77777777" w:rsidR="00C23B76" w:rsidRDefault="00D65794">
      <w:pPr>
        <w:pStyle w:val="ListParagraph"/>
        <w:numPr>
          <w:ilvl w:val="1"/>
          <w:numId w:val="9"/>
        </w:numPr>
        <w:tabs>
          <w:tab w:val="left" w:pos="1540"/>
          <w:tab w:val="left" w:pos="1541"/>
        </w:tabs>
        <w:ind w:hanging="361"/>
      </w:pPr>
      <w:r>
        <w:t>Maintenance of records of all project-related</w:t>
      </w:r>
      <w:r>
        <w:rPr>
          <w:spacing w:val="-6"/>
        </w:rPr>
        <w:t xml:space="preserve"> </w:t>
      </w:r>
      <w:r>
        <w:t>documentation</w:t>
      </w:r>
    </w:p>
    <w:p w14:paraId="269DFA40" w14:textId="77777777" w:rsidR="00C23B76" w:rsidRDefault="00D65794">
      <w:pPr>
        <w:pStyle w:val="ListParagraph"/>
        <w:numPr>
          <w:ilvl w:val="1"/>
          <w:numId w:val="9"/>
        </w:numPr>
        <w:tabs>
          <w:tab w:val="left" w:pos="1540"/>
          <w:tab w:val="left" w:pos="1541"/>
        </w:tabs>
        <w:spacing w:before="1"/>
        <w:ind w:hanging="361"/>
      </w:pPr>
      <w:r>
        <w:t>Management and administration of the Knowledge Management</w:t>
      </w:r>
      <w:r>
        <w:rPr>
          <w:spacing w:val="-9"/>
        </w:rPr>
        <w:t xml:space="preserve"> </w:t>
      </w:r>
      <w:r>
        <w:t>Plan;</w:t>
      </w:r>
    </w:p>
    <w:p w14:paraId="269DFA41" w14:textId="77777777" w:rsidR="00C23B76" w:rsidRDefault="00D65794">
      <w:pPr>
        <w:pStyle w:val="ListParagraph"/>
        <w:numPr>
          <w:ilvl w:val="1"/>
          <w:numId w:val="9"/>
        </w:numPr>
        <w:tabs>
          <w:tab w:val="left" w:pos="1540"/>
          <w:tab w:val="left" w:pos="1541"/>
        </w:tabs>
        <w:spacing w:before="1" w:line="279" w:lineRule="exact"/>
        <w:ind w:hanging="361"/>
      </w:pPr>
      <w:r>
        <w:t>Preparation of progress reports and financial reports for the</w:t>
      </w:r>
      <w:r>
        <w:rPr>
          <w:spacing w:val="-12"/>
        </w:rPr>
        <w:t xml:space="preserve"> </w:t>
      </w:r>
      <w:r>
        <w:t>project;</w:t>
      </w:r>
    </w:p>
    <w:p w14:paraId="269DFA42" w14:textId="77777777" w:rsidR="00C23B76" w:rsidRDefault="00D65794">
      <w:pPr>
        <w:pStyle w:val="ListParagraph"/>
        <w:numPr>
          <w:ilvl w:val="1"/>
          <w:numId w:val="9"/>
        </w:numPr>
        <w:tabs>
          <w:tab w:val="left" w:pos="1540"/>
          <w:tab w:val="left" w:pos="1541"/>
        </w:tabs>
        <w:spacing w:line="279" w:lineRule="exact"/>
        <w:ind w:hanging="361"/>
      </w:pPr>
      <w:r>
        <w:t>Consultation with project</w:t>
      </w:r>
      <w:r>
        <w:rPr>
          <w:spacing w:val="-4"/>
        </w:rPr>
        <w:t xml:space="preserve"> </w:t>
      </w:r>
      <w:r>
        <w:t>stakeholders;</w:t>
      </w:r>
    </w:p>
    <w:p w14:paraId="269DFA43" w14:textId="77777777" w:rsidR="00C23B76" w:rsidRDefault="00D65794">
      <w:pPr>
        <w:pStyle w:val="ListParagraph"/>
        <w:numPr>
          <w:ilvl w:val="1"/>
          <w:numId w:val="9"/>
        </w:numPr>
        <w:tabs>
          <w:tab w:val="left" w:pos="1540"/>
          <w:tab w:val="left" w:pos="1541"/>
        </w:tabs>
        <w:spacing w:before="1"/>
        <w:ind w:hanging="361"/>
      </w:pPr>
      <w:r>
        <w:t>Financial auditing for the</w:t>
      </w:r>
      <w:r>
        <w:rPr>
          <w:spacing w:val="-2"/>
        </w:rPr>
        <w:t xml:space="preserve"> </w:t>
      </w:r>
      <w:r>
        <w:t>project.</w:t>
      </w:r>
    </w:p>
    <w:p w14:paraId="269DFA44" w14:textId="77777777" w:rsidR="00C23B76" w:rsidRDefault="00C23B76">
      <w:pPr>
        <w:pStyle w:val="BodyText"/>
      </w:pPr>
    </w:p>
    <w:p w14:paraId="269DFA45" w14:textId="77777777" w:rsidR="00C23B76" w:rsidRDefault="00D65794">
      <w:pPr>
        <w:pStyle w:val="BodyText"/>
        <w:ind w:left="100"/>
      </w:pPr>
      <w:r>
        <w:rPr>
          <w:u w:val="single"/>
        </w:rPr>
        <w:t>Support that is not eligible and can therefore not be charged to PMC:</w:t>
      </w:r>
    </w:p>
    <w:p w14:paraId="269DFA46" w14:textId="77777777" w:rsidR="00C23B76" w:rsidRDefault="00D65794">
      <w:pPr>
        <w:pStyle w:val="ListParagraph"/>
        <w:numPr>
          <w:ilvl w:val="0"/>
          <w:numId w:val="8"/>
        </w:numPr>
        <w:tabs>
          <w:tab w:val="left" w:pos="821"/>
        </w:tabs>
        <w:ind w:right="116"/>
      </w:pPr>
      <w:r>
        <w:t>Government staff salaries, benefits, bonuses or other emoluments (not eligible for any GEF project</w:t>
      </w:r>
      <w:r>
        <w:rPr>
          <w:spacing w:val="-1"/>
        </w:rPr>
        <w:t xml:space="preserve"> </w:t>
      </w:r>
      <w:r>
        <w:t>funding);</w:t>
      </w:r>
    </w:p>
    <w:p w14:paraId="269DFA47" w14:textId="77777777" w:rsidR="00C23B76" w:rsidRDefault="00D65794">
      <w:pPr>
        <w:pStyle w:val="ListParagraph"/>
        <w:numPr>
          <w:ilvl w:val="0"/>
          <w:numId w:val="8"/>
        </w:numPr>
        <w:tabs>
          <w:tab w:val="left" w:pos="821"/>
        </w:tabs>
        <w:spacing w:before="1"/>
        <w:ind w:hanging="361"/>
      </w:pPr>
      <w:r>
        <w:t>Salaries and fees for GEF Agency staff or</w:t>
      </w:r>
      <w:r>
        <w:rPr>
          <w:spacing w:val="-6"/>
        </w:rPr>
        <w:t xml:space="preserve"> </w:t>
      </w:r>
      <w:r>
        <w:t>consultants;</w:t>
      </w:r>
    </w:p>
    <w:p w14:paraId="269DFA48" w14:textId="77777777" w:rsidR="00C23B76" w:rsidRDefault="00C23B76">
      <w:pPr>
        <w:sectPr w:rsidR="00C23B76">
          <w:pgSz w:w="12240" w:h="15840"/>
          <w:pgMar w:top="1340" w:right="1320" w:bottom="1540" w:left="1340" w:header="182" w:footer="1314" w:gutter="0"/>
          <w:cols w:space="720"/>
        </w:sectPr>
      </w:pPr>
    </w:p>
    <w:p w14:paraId="269DFA49" w14:textId="77777777" w:rsidR="00C23B76" w:rsidRDefault="00D65794">
      <w:pPr>
        <w:pStyle w:val="ListParagraph"/>
        <w:numPr>
          <w:ilvl w:val="0"/>
          <w:numId w:val="8"/>
        </w:numPr>
        <w:tabs>
          <w:tab w:val="left" w:pos="821"/>
        </w:tabs>
        <w:spacing w:before="90"/>
        <w:ind w:hanging="361"/>
      </w:pPr>
      <w:r>
        <w:lastRenderedPageBreak/>
        <w:t>Purchase of</w:t>
      </w:r>
      <w:r>
        <w:rPr>
          <w:spacing w:val="-4"/>
        </w:rPr>
        <w:t xml:space="preserve"> </w:t>
      </w:r>
      <w:r>
        <w:t>vehicles;</w:t>
      </w:r>
    </w:p>
    <w:p w14:paraId="269DFA4A" w14:textId="77777777" w:rsidR="00C23B76" w:rsidRDefault="00D65794">
      <w:pPr>
        <w:pStyle w:val="ListParagraph"/>
        <w:numPr>
          <w:ilvl w:val="0"/>
          <w:numId w:val="8"/>
        </w:numPr>
        <w:tabs>
          <w:tab w:val="left" w:pos="821"/>
        </w:tabs>
        <w:spacing w:before="1"/>
        <w:ind w:right="118"/>
        <w:jc w:val="both"/>
      </w:pPr>
      <w:r>
        <w:t>Monitoring of project indicators and periodic monitoring report (this should be budgeted under the M&amp;E Budget and is a separate component of the project</w:t>
      </w:r>
      <w:r>
        <w:rPr>
          <w:spacing w:val="-11"/>
        </w:rPr>
        <w:t xml:space="preserve"> </w:t>
      </w:r>
      <w:r>
        <w:t>cost)</w:t>
      </w:r>
    </w:p>
    <w:p w14:paraId="269DFA4B" w14:textId="77777777" w:rsidR="00C23B76" w:rsidRDefault="00C23B76">
      <w:pPr>
        <w:pStyle w:val="BodyText"/>
        <w:spacing w:before="10"/>
        <w:rPr>
          <w:sz w:val="21"/>
        </w:rPr>
      </w:pPr>
    </w:p>
    <w:p w14:paraId="269DFA4C" w14:textId="77777777" w:rsidR="00C23B76" w:rsidRDefault="00D65794">
      <w:pPr>
        <w:pStyle w:val="Heading1"/>
        <w:numPr>
          <w:ilvl w:val="0"/>
          <w:numId w:val="11"/>
        </w:numPr>
        <w:tabs>
          <w:tab w:val="left" w:pos="461"/>
        </w:tabs>
        <w:ind w:hanging="361"/>
      </w:pPr>
      <w:r>
        <w:t>UNDP</w:t>
      </w:r>
      <w:r>
        <w:rPr>
          <w:spacing w:val="-1"/>
        </w:rPr>
        <w:t xml:space="preserve"> </w:t>
      </w:r>
      <w:r>
        <w:t>procedure:</w:t>
      </w:r>
    </w:p>
    <w:p w14:paraId="269DFA4D" w14:textId="77777777" w:rsidR="00C23B76" w:rsidRDefault="00C23B76">
      <w:pPr>
        <w:pStyle w:val="BodyText"/>
        <w:spacing w:before="1"/>
        <w:rPr>
          <w:b/>
        </w:rPr>
      </w:pPr>
    </w:p>
    <w:p w14:paraId="269DFA4E" w14:textId="77777777" w:rsidR="00C23B76" w:rsidRDefault="00D65794">
      <w:pPr>
        <w:pStyle w:val="BodyText"/>
        <w:ind w:left="100"/>
        <w:jc w:val="both"/>
      </w:pPr>
      <w:r>
        <w:t>This applies to all GEF PIFs to be submitted on or after 11 August 2020.</w:t>
      </w:r>
    </w:p>
    <w:p w14:paraId="269DFA4F" w14:textId="77777777" w:rsidR="00C23B76" w:rsidRDefault="00C23B76">
      <w:pPr>
        <w:pStyle w:val="BodyText"/>
      </w:pPr>
    </w:p>
    <w:p w14:paraId="269DFA50" w14:textId="77777777" w:rsidR="00C23B76" w:rsidRDefault="00D65794">
      <w:pPr>
        <w:pStyle w:val="Heading1"/>
        <w:ind w:firstLine="0"/>
        <w:jc w:val="both"/>
      </w:pPr>
      <w:r>
        <w:t>Pre-PIF formulation:</w:t>
      </w:r>
    </w:p>
    <w:p w14:paraId="269DFA51" w14:textId="77777777" w:rsidR="00C23B76" w:rsidRDefault="00D65794">
      <w:pPr>
        <w:pStyle w:val="ListParagraph"/>
        <w:numPr>
          <w:ilvl w:val="1"/>
          <w:numId w:val="11"/>
        </w:numPr>
        <w:tabs>
          <w:tab w:val="left" w:pos="821"/>
        </w:tabs>
        <w:spacing w:before="121"/>
        <w:ind w:right="136"/>
        <w:jc w:val="both"/>
      </w:pPr>
      <w:r>
        <w:t>When a Government approaches the Country Office (CO) for support in accessing GEF funds, the CO informs the Government that execution is expected to be the function of the selected IP, not UNDP, in line with GEF</w:t>
      </w:r>
      <w:r>
        <w:rPr>
          <w:spacing w:val="-8"/>
        </w:rPr>
        <w:t xml:space="preserve"> </w:t>
      </w:r>
      <w:r>
        <w:t>policy.</w:t>
      </w:r>
    </w:p>
    <w:p w14:paraId="269DFA52" w14:textId="77777777" w:rsidR="00C23B76" w:rsidRDefault="00C23B76">
      <w:pPr>
        <w:pStyle w:val="BodyText"/>
        <w:spacing w:before="11"/>
        <w:rPr>
          <w:sz w:val="31"/>
        </w:rPr>
      </w:pPr>
    </w:p>
    <w:p w14:paraId="269DFA53" w14:textId="77777777" w:rsidR="00C23B76" w:rsidRDefault="00D65794">
      <w:pPr>
        <w:pStyle w:val="Heading1"/>
        <w:ind w:firstLine="0"/>
      </w:pPr>
      <w:r>
        <w:t>PIF formulation and pre-PAC meeting prior to submission of PIF to GEF:</w:t>
      </w:r>
    </w:p>
    <w:p w14:paraId="269DFA54" w14:textId="2454B5BD" w:rsidR="00C23B76" w:rsidRPr="003561EF" w:rsidRDefault="00D65794">
      <w:pPr>
        <w:pStyle w:val="ListParagraph"/>
        <w:numPr>
          <w:ilvl w:val="0"/>
          <w:numId w:val="7"/>
        </w:numPr>
        <w:tabs>
          <w:tab w:val="left" w:pos="821"/>
        </w:tabs>
        <w:spacing w:before="118"/>
        <w:ind w:hanging="361"/>
      </w:pPr>
      <w:r>
        <w:t xml:space="preserve">The CO </w:t>
      </w:r>
      <w:r w:rsidRPr="003561EF">
        <w:t xml:space="preserve">ensures the </w:t>
      </w:r>
      <w:r w:rsidR="009A611B" w:rsidRPr="003561EF">
        <w:t>Partner Capacity Assessment Tool (PCAT)</w:t>
      </w:r>
      <w:r w:rsidRPr="003561EF">
        <w:t xml:space="preserve"> and the </w:t>
      </w:r>
      <w:r w:rsidR="000A013E" w:rsidRPr="003561EF">
        <w:t>HACT assessments</w:t>
      </w:r>
      <w:r w:rsidRPr="003561EF">
        <w:t xml:space="preserve"> of the likely Implementing Partner are</w:t>
      </w:r>
      <w:r w:rsidRPr="003561EF">
        <w:rPr>
          <w:spacing w:val="-21"/>
        </w:rPr>
        <w:t xml:space="preserve"> </w:t>
      </w:r>
      <w:r w:rsidRPr="003561EF">
        <w:t>completed.</w:t>
      </w:r>
    </w:p>
    <w:p w14:paraId="269DFA55" w14:textId="52BF1473" w:rsidR="00C23B76" w:rsidRPr="003561EF" w:rsidRDefault="00D65794">
      <w:pPr>
        <w:pStyle w:val="ListParagraph"/>
        <w:numPr>
          <w:ilvl w:val="0"/>
          <w:numId w:val="7"/>
        </w:numPr>
        <w:tabs>
          <w:tab w:val="left" w:pos="821"/>
        </w:tabs>
        <w:ind w:right="122"/>
      </w:pPr>
      <w:r w:rsidRPr="003561EF">
        <w:t xml:space="preserve">The results of the </w:t>
      </w:r>
      <w:r w:rsidR="009A611B" w:rsidRPr="003561EF">
        <w:t>Partner Capacity Assessment Tool</w:t>
      </w:r>
      <w:r w:rsidRPr="003561EF">
        <w:t xml:space="preserve"> and HACT </w:t>
      </w:r>
      <w:r w:rsidR="000A013E" w:rsidRPr="003561EF">
        <w:t xml:space="preserve">assessments </w:t>
      </w:r>
      <w:r w:rsidRPr="003561EF">
        <w:t>are discussed during a virtual pre-PAC meeting (including at minimum the RR, the RTL and the RTA) to determine whether execution support is required, and if so, which entity will provide this support. Note the</w:t>
      </w:r>
      <w:r w:rsidRPr="003561EF">
        <w:rPr>
          <w:spacing w:val="-6"/>
        </w:rPr>
        <w:t xml:space="preserve"> </w:t>
      </w:r>
      <w:r w:rsidRPr="003561EF">
        <w:t>following:</w:t>
      </w:r>
    </w:p>
    <w:p w14:paraId="269DFA56" w14:textId="77777777" w:rsidR="00C23B76" w:rsidRPr="003561EF" w:rsidRDefault="00D65794">
      <w:pPr>
        <w:pStyle w:val="ListParagraph"/>
        <w:numPr>
          <w:ilvl w:val="1"/>
          <w:numId w:val="7"/>
        </w:numPr>
        <w:tabs>
          <w:tab w:val="left" w:pos="1541"/>
        </w:tabs>
        <w:spacing w:before="1"/>
        <w:ind w:right="457"/>
      </w:pPr>
      <w:r w:rsidRPr="003561EF">
        <w:t>IPs should have the ability to manage and administer the day-to-day activities of a project. If the IP does not have the capacity to execute the project, another IP can</w:t>
      </w:r>
      <w:r w:rsidRPr="003561EF">
        <w:rPr>
          <w:spacing w:val="-27"/>
        </w:rPr>
        <w:t xml:space="preserve"> </w:t>
      </w:r>
      <w:r w:rsidRPr="003561EF">
        <w:t>be selected, or UNDP CO can choose not to proceed with the</w:t>
      </w:r>
      <w:r w:rsidRPr="003561EF">
        <w:rPr>
          <w:spacing w:val="-10"/>
        </w:rPr>
        <w:t xml:space="preserve"> </w:t>
      </w:r>
      <w:r w:rsidRPr="003561EF">
        <w:t>project.</w:t>
      </w:r>
    </w:p>
    <w:p w14:paraId="269DFA57" w14:textId="77777777" w:rsidR="00C23B76" w:rsidRPr="003561EF" w:rsidRDefault="00D65794">
      <w:pPr>
        <w:pStyle w:val="ListParagraph"/>
        <w:numPr>
          <w:ilvl w:val="1"/>
          <w:numId w:val="7"/>
        </w:numPr>
        <w:tabs>
          <w:tab w:val="left" w:pos="1541"/>
        </w:tabs>
        <w:spacing w:before="1"/>
        <w:ind w:right="243"/>
        <w:jc w:val="both"/>
      </w:pPr>
      <w:r w:rsidRPr="003561EF">
        <w:t>If the only option is to proceed with an IP with weak capacity, and execution support is to be charged to PMC, it can be included in the services to be delivered by one or many of the project responsible</w:t>
      </w:r>
      <w:r w:rsidRPr="003561EF">
        <w:rPr>
          <w:spacing w:val="-7"/>
        </w:rPr>
        <w:t xml:space="preserve"> </w:t>
      </w:r>
      <w:r w:rsidRPr="003561EF">
        <w:t>parties.</w:t>
      </w:r>
    </w:p>
    <w:p w14:paraId="269DFA58" w14:textId="439C7BFE" w:rsidR="00C23B76" w:rsidRDefault="00D65794">
      <w:pPr>
        <w:pStyle w:val="ListParagraph"/>
        <w:numPr>
          <w:ilvl w:val="1"/>
          <w:numId w:val="7"/>
        </w:numPr>
        <w:tabs>
          <w:tab w:val="left" w:pos="1540"/>
          <w:tab w:val="left" w:pos="1541"/>
        </w:tabs>
        <w:ind w:right="365"/>
      </w:pPr>
      <w:r w:rsidRPr="003561EF">
        <w:t xml:space="preserve">If the Government requests UNDP CO to provide execution support, the RTA and PTA will discuss the feasibility of this exception with the GEF Secretariat. The results of the </w:t>
      </w:r>
      <w:r w:rsidR="00B16E01" w:rsidRPr="003561EF">
        <w:t>Partner Capacity Assessment Tool</w:t>
      </w:r>
      <w:r w:rsidRPr="003561EF">
        <w:t xml:space="preserve"> and HACT </w:t>
      </w:r>
      <w:r w:rsidR="000A013E" w:rsidRPr="003561EF">
        <w:t xml:space="preserve">assessments </w:t>
      </w:r>
      <w:r w:rsidRPr="003561EF">
        <w:t>may be</w:t>
      </w:r>
      <w:r>
        <w:t xml:space="preserve"> shared with the GEF Secretariat to justify the exceptional request.</w:t>
      </w:r>
    </w:p>
    <w:p w14:paraId="269DFA59" w14:textId="77777777" w:rsidR="00C23B76" w:rsidRDefault="00C23B76">
      <w:pPr>
        <w:pStyle w:val="BodyText"/>
        <w:spacing w:before="10"/>
        <w:rPr>
          <w:sz w:val="31"/>
        </w:rPr>
      </w:pPr>
    </w:p>
    <w:p w14:paraId="269DFA5A" w14:textId="77777777" w:rsidR="00C23B76" w:rsidRDefault="00D65794">
      <w:pPr>
        <w:pStyle w:val="Heading1"/>
        <w:ind w:firstLine="0"/>
      </w:pPr>
      <w:r>
        <w:t>PIF submission:</w:t>
      </w:r>
    </w:p>
    <w:p w14:paraId="269DFA5B" w14:textId="77777777" w:rsidR="00C23B76" w:rsidRDefault="00D65794">
      <w:pPr>
        <w:pStyle w:val="ListParagraph"/>
        <w:numPr>
          <w:ilvl w:val="0"/>
          <w:numId w:val="6"/>
        </w:numPr>
        <w:tabs>
          <w:tab w:val="left" w:pos="821"/>
        </w:tabs>
        <w:spacing w:before="120"/>
        <w:ind w:right="730"/>
      </w:pPr>
      <w:r>
        <w:t>The OFP Letter of Endorsement submitted with the PIF should not include reference to an exception for execution support without prior consultation with the GEF</w:t>
      </w:r>
      <w:r>
        <w:rPr>
          <w:spacing w:val="-17"/>
        </w:rPr>
        <w:t xml:space="preserve"> </w:t>
      </w:r>
      <w:r>
        <w:t>Secretariat.</w:t>
      </w:r>
    </w:p>
    <w:p w14:paraId="269DFA5C" w14:textId="77777777" w:rsidR="00C23B76" w:rsidRDefault="00D65794">
      <w:pPr>
        <w:pStyle w:val="ListParagraph"/>
        <w:numPr>
          <w:ilvl w:val="0"/>
          <w:numId w:val="6"/>
        </w:numPr>
        <w:tabs>
          <w:tab w:val="left" w:pos="821"/>
        </w:tabs>
        <w:spacing w:before="1"/>
        <w:ind w:right="372"/>
      </w:pPr>
      <w:r>
        <w:t>The PIF should not include reference to execution support without prior consultation with the GEF Secretariat.</w:t>
      </w:r>
    </w:p>
    <w:p w14:paraId="269DFA5D" w14:textId="77777777" w:rsidR="00C23B76" w:rsidRDefault="00C23B76">
      <w:pPr>
        <w:pStyle w:val="BodyText"/>
        <w:spacing w:before="9"/>
        <w:rPr>
          <w:sz w:val="31"/>
        </w:rPr>
      </w:pPr>
    </w:p>
    <w:p w14:paraId="269DFA5E" w14:textId="77777777" w:rsidR="00C23B76" w:rsidRDefault="00D65794">
      <w:pPr>
        <w:pStyle w:val="Heading1"/>
        <w:ind w:firstLine="0"/>
      </w:pPr>
      <w:r>
        <w:t>PPG phase and formulation of the CEO endorsement request and the UNDP-GEF Project Document:</w:t>
      </w:r>
    </w:p>
    <w:p w14:paraId="269DFA5F" w14:textId="77777777" w:rsidR="00C23B76" w:rsidRDefault="00D65794">
      <w:pPr>
        <w:pStyle w:val="ListParagraph"/>
        <w:numPr>
          <w:ilvl w:val="0"/>
          <w:numId w:val="5"/>
        </w:numPr>
        <w:tabs>
          <w:tab w:val="left" w:pos="821"/>
        </w:tabs>
        <w:spacing w:before="120"/>
        <w:ind w:right="729"/>
      </w:pPr>
      <w:r>
        <w:t>Should the GEF Secretariat have informally agreed to the exceptional request for UNDP</w:t>
      </w:r>
      <w:r>
        <w:rPr>
          <w:spacing w:val="-26"/>
        </w:rPr>
        <w:t xml:space="preserve"> </w:t>
      </w:r>
      <w:r>
        <w:t xml:space="preserve">to provide execution support, the </w:t>
      </w:r>
      <w:r>
        <w:rPr>
          <w:b/>
        </w:rPr>
        <w:t xml:space="preserve">following letters </w:t>
      </w:r>
      <w:r>
        <w:t>are required by submission for CEO endorsement:</w:t>
      </w:r>
    </w:p>
    <w:p w14:paraId="269DFA60" w14:textId="77777777" w:rsidR="00C23B76" w:rsidRDefault="00000000">
      <w:pPr>
        <w:pStyle w:val="ListParagraph"/>
        <w:numPr>
          <w:ilvl w:val="1"/>
          <w:numId w:val="5"/>
        </w:numPr>
        <w:tabs>
          <w:tab w:val="left" w:pos="1540"/>
          <w:tab w:val="left" w:pos="1541"/>
        </w:tabs>
        <w:spacing w:before="1"/>
        <w:ind w:right="240"/>
      </w:pPr>
      <w:hyperlink r:id="rId32">
        <w:r w:rsidR="00D65794">
          <w:rPr>
            <w:color w:val="0000FF"/>
            <w:u w:val="single" w:color="0000FF"/>
          </w:rPr>
          <w:t>GEF specific Letter of Agreement</w:t>
        </w:r>
        <w:r w:rsidR="00D65794">
          <w:rPr>
            <w:color w:val="0000FF"/>
          </w:rPr>
          <w:t xml:space="preserve"> </w:t>
        </w:r>
      </w:hyperlink>
      <w:r w:rsidR="00D65794">
        <w:t>must be fully completed and signed by the GEF OFP. The types of execution support can only be those that are GEF eligible (see above). This letter will be Annexed to the UNDP-GEF Project Document. See Annex</w:t>
      </w:r>
      <w:r w:rsidR="00D65794">
        <w:rPr>
          <w:spacing w:val="-13"/>
        </w:rPr>
        <w:t xml:space="preserve"> </w:t>
      </w:r>
      <w:r w:rsidR="00D65794">
        <w:t>C</w:t>
      </w:r>
    </w:p>
    <w:p w14:paraId="269DFA61" w14:textId="77777777" w:rsidR="00C23B76" w:rsidRDefault="00C23B76">
      <w:pPr>
        <w:sectPr w:rsidR="00C23B76">
          <w:pgSz w:w="12240" w:h="15840"/>
          <w:pgMar w:top="1340" w:right="1320" w:bottom="1540" w:left="1340" w:header="182" w:footer="1314" w:gutter="0"/>
          <w:cols w:space="720"/>
        </w:sectPr>
      </w:pPr>
    </w:p>
    <w:p w14:paraId="269DFA62" w14:textId="5B25110A" w:rsidR="00C23B76" w:rsidRDefault="00D65794">
      <w:pPr>
        <w:pStyle w:val="ListParagraph"/>
        <w:numPr>
          <w:ilvl w:val="1"/>
          <w:numId w:val="5"/>
        </w:numPr>
        <w:tabs>
          <w:tab w:val="left" w:pos="1540"/>
          <w:tab w:val="left" w:pos="1541"/>
        </w:tabs>
        <w:spacing w:before="91"/>
        <w:ind w:right="303"/>
      </w:pPr>
      <w:r>
        <w:lastRenderedPageBreak/>
        <w:t>The</w:t>
      </w:r>
      <w:r>
        <w:rPr>
          <w:color w:val="0000FF"/>
        </w:rPr>
        <w:t xml:space="preserve"> </w:t>
      </w:r>
      <w:hyperlink r:id="rId33" w:history="1">
        <w:r w:rsidRPr="002F03A3">
          <w:rPr>
            <w:rStyle w:val="Hyperlink"/>
          </w:rPr>
          <w:t>UNDP Letter of Agreement for the Provision of Support Services</w:t>
        </w:r>
      </w:hyperlink>
      <w:r>
        <w:rPr>
          <w:color w:val="0000FF"/>
        </w:rPr>
        <w:t xml:space="preserve"> </w:t>
      </w:r>
      <w:r>
        <w:t>must be duly completed. The types of execution support can only be those that are GEF eligible (see above). This letter will be Annexed to the UNDP-GEF Project Document. See Annex</w:t>
      </w:r>
      <w:r>
        <w:rPr>
          <w:spacing w:val="-19"/>
        </w:rPr>
        <w:t xml:space="preserve"> </w:t>
      </w:r>
      <w:r>
        <w:t>D</w:t>
      </w:r>
    </w:p>
    <w:p w14:paraId="269DFA63" w14:textId="77777777" w:rsidR="00C23B76" w:rsidRDefault="00D65794">
      <w:pPr>
        <w:pStyle w:val="ListParagraph"/>
        <w:numPr>
          <w:ilvl w:val="0"/>
          <w:numId w:val="5"/>
        </w:numPr>
        <w:tabs>
          <w:tab w:val="left" w:pos="821"/>
        </w:tabs>
        <w:ind w:right="778"/>
      </w:pPr>
      <w:r>
        <w:t>To ensure the GEF conditions for a GEF Agency to provide execution support are met, the following steps must be</w:t>
      </w:r>
      <w:r>
        <w:rPr>
          <w:spacing w:val="-8"/>
        </w:rPr>
        <w:t xml:space="preserve"> </w:t>
      </w:r>
      <w:r>
        <w:t>taken:</w:t>
      </w:r>
    </w:p>
    <w:p w14:paraId="269DFA64" w14:textId="77777777" w:rsidR="00C23B76" w:rsidRDefault="00D65794">
      <w:pPr>
        <w:pStyle w:val="ListParagraph"/>
        <w:numPr>
          <w:ilvl w:val="1"/>
          <w:numId w:val="5"/>
        </w:numPr>
        <w:tabs>
          <w:tab w:val="left" w:pos="1540"/>
          <w:tab w:val="left" w:pos="1541"/>
        </w:tabs>
        <w:ind w:right="224"/>
      </w:pPr>
      <w:r>
        <w:t>The Governance arrangements outlined in the UNDP-GEF Project Document (will clarify how a firewall will be maintained between oversight and</w:t>
      </w:r>
      <w:r>
        <w:rPr>
          <w:spacing w:val="-14"/>
        </w:rPr>
        <w:t xml:space="preserve"> </w:t>
      </w:r>
      <w:r>
        <w:t>execution.</w:t>
      </w:r>
    </w:p>
    <w:p w14:paraId="269DFA65" w14:textId="77777777" w:rsidR="00C23B76" w:rsidRDefault="00D65794">
      <w:pPr>
        <w:pStyle w:val="ListParagraph"/>
        <w:numPr>
          <w:ilvl w:val="1"/>
          <w:numId w:val="5"/>
        </w:numPr>
        <w:tabs>
          <w:tab w:val="left" w:pos="1540"/>
          <w:tab w:val="left" w:pos="1541"/>
        </w:tabs>
        <w:spacing w:line="256" w:lineRule="auto"/>
        <w:ind w:right="245"/>
      </w:pPr>
      <w:r>
        <w:t xml:space="preserve">Project PMU staff should </w:t>
      </w:r>
      <w:r>
        <w:rPr>
          <w:u w:val="single"/>
        </w:rPr>
        <w:t>not</w:t>
      </w:r>
      <w:r>
        <w:t xml:space="preserve"> be located in a UNDP Country Office but in the IP or other location.</w:t>
      </w:r>
    </w:p>
    <w:p w14:paraId="269DFA66" w14:textId="77777777" w:rsidR="00C23B76" w:rsidRDefault="00C23B76">
      <w:pPr>
        <w:spacing w:line="256" w:lineRule="auto"/>
        <w:sectPr w:rsidR="00C23B76">
          <w:pgSz w:w="12240" w:h="15840"/>
          <w:pgMar w:top="1340" w:right="1320" w:bottom="1540" w:left="1340" w:header="182" w:footer="1314" w:gutter="0"/>
          <w:cols w:space="720"/>
        </w:sectPr>
      </w:pPr>
    </w:p>
    <w:p w14:paraId="269DFA67" w14:textId="77777777" w:rsidR="00C23B76" w:rsidRDefault="00D65794">
      <w:pPr>
        <w:pStyle w:val="Heading1"/>
        <w:spacing w:before="90"/>
        <w:ind w:firstLine="0"/>
      </w:pPr>
      <w:r>
        <w:lastRenderedPageBreak/>
        <w:t xml:space="preserve">Annex A: </w:t>
      </w:r>
      <w:hyperlink r:id="rId34">
        <w:r>
          <w:rPr>
            <w:color w:val="0000FF"/>
            <w:u w:val="single" w:color="0000FF"/>
          </w:rPr>
          <w:t>Relevant GEF policies and guidance</w:t>
        </w:r>
      </w:hyperlink>
    </w:p>
    <w:p w14:paraId="269DFA68" w14:textId="77777777" w:rsidR="00C23B76" w:rsidRDefault="00C23B76">
      <w:pPr>
        <w:pStyle w:val="BodyText"/>
        <w:spacing w:before="6"/>
        <w:rPr>
          <w:b/>
          <w:sz w:val="17"/>
        </w:rPr>
      </w:pPr>
    </w:p>
    <w:p w14:paraId="269DFA69" w14:textId="77777777" w:rsidR="00C23B76" w:rsidRDefault="00000000">
      <w:pPr>
        <w:pStyle w:val="ListParagraph"/>
        <w:numPr>
          <w:ilvl w:val="0"/>
          <w:numId w:val="4"/>
        </w:numPr>
        <w:tabs>
          <w:tab w:val="left" w:pos="461"/>
        </w:tabs>
        <w:spacing w:before="56"/>
        <w:ind w:hanging="361"/>
      </w:pPr>
      <w:hyperlink r:id="rId35">
        <w:r w:rsidR="00D65794">
          <w:rPr>
            <w:color w:val="0000FF"/>
            <w:u w:val="single" w:color="0000FF"/>
          </w:rPr>
          <w:t>GEF cancellation policy</w:t>
        </w:r>
        <w:r w:rsidR="00D65794">
          <w:rPr>
            <w:color w:val="0000FF"/>
          </w:rPr>
          <w:t xml:space="preserve"> </w:t>
        </w:r>
      </w:hyperlink>
      <w:r w:rsidR="00D65794">
        <w:t>dated 20 December</w:t>
      </w:r>
      <w:r w:rsidR="00D65794">
        <w:rPr>
          <w:spacing w:val="-3"/>
        </w:rPr>
        <w:t xml:space="preserve"> </w:t>
      </w:r>
      <w:r w:rsidR="00D65794">
        <w:t>2018</w:t>
      </w:r>
    </w:p>
    <w:p w14:paraId="269DFA6A" w14:textId="77777777" w:rsidR="00C23B76" w:rsidRDefault="00000000">
      <w:pPr>
        <w:pStyle w:val="ListParagraph"/>
        <w:numPr>
          <w:ilvl w:val="0"/>
          <w:numId w:val="4"/>
        </w:numPr>
        <w:tabs>
          <w:tab w:val="left" w:pos="461"/>
        </w:tabs>
        <w:ind w:hanging="361"/>
      </w:pPr>
      <w:hyperlink r:id="rId36">
        <w:r w:rsidR="00D65794">
          <w:rPr>
            <w:color w:val="0000FF"/>
            <w:u w:val="single" w:color="0000FF"/>
          </w:rPr>
          <w:t>GEF Fiduciary Standards</w:t>
        </w:r>
        <w:r w:rsidR="00D65794">
          <w:rPr>
            <w:color w:val="0000FF"/>
          </w:rPr>
          <w:t xml:space="preserve"> </w:t>
        </w:r>
      </w:hyperlink>
      <w:r w:rsidR="00D65794">
        <w:t>dated 19 December</w:t>
      </w:r>
      <w:r w:rsidR="00D65794">
        <w:rPr>
          <w:spacing w:val="-5"/>
        </w:rPr>
        <w:t xml:space="preserve"> </w:t>
      </w:r>
      <w:r w:rsidR="00D65794">
        <w:t>2019</w:t>
      </w:r>
    </w:p>
    <w:p w14:paraId="269DFA6B" w14:textId="77777777" w:rsidR="00C23B76" w:rsidRDefault="00000000">
      <w:pPr>
        <w:pStyle w:val="ListParagraph"/>
        <w:numPr>
          <w:ilvl w:val="0"/>
          <w:numId w:val="4"/>
        </w:numPr>
        <w:tabs>
          <w:tab w:val="left" w:pos="461"/>
        </w:tabs>
        <w:spacing w:before="1"/>
        <w:ind w:hanging="361"/>
      </w:pPr>
      <w:hyperlink r:id="rId37">
        <w:r w:rsidR="00D65794">
          <w:rPr>
            <w:color w:val="0000FF"/>
            <w:u w:val="single" w:color="0000FF"/>
          </w:rPr>
          <w:t>GEF Guidelines on Program and Project Cycle</w:t>
        </w:r>
        <w:r w:rsidR="00D65794">
          <w:rPr>
            <w:color w:val="0000FF"/>
          </w:rPr>
          <w:t xml:space="preserve"> </w:t>
        </w:r>
      </w:hyperlink>
      <w:r w:rsidR="00D65794">
        <w:t>dated 20 July</w:t>
      </w:r>
      <w:r w:rsidR="00D65794">
        <w:rPr>
          <w:spacing w:val="-11"/>
        </w:rPr>
        <w:t xml:space="preserve"> </w:t>
      </w:r>
      <w:r w:rsidR="00D65794">
        <w:t>2020</w:t>
      </w:r>
    </w:p>
    <w:p w14:paraId="269DFA6C" w14:textId="77777777" w:rsidR="00C23B76" w:rsidRDefault="00000000">
      <w:pPr>
        <w:pStyle w:val="ListParagraph"/>
        <w:numPr>
          <w:ilvl w:val="0"/>
          <w:numId w:val="4"/>
        </w:numPr>
        <w:tabs>
          <w:tab w:val="left" w:pos="461"/>
        </w:tabs>
        <w:spacing w:before="19"/>
        <w:ind w:hanging="361"/>
      </w:pPr>
      <w:hyperlink r:id="rId38">
        <w:r w:rsidR="00D65794">
          <w:rPr>
            <w:color w:val="0000FF"/>
            <w:u w:val="single" w:color="0000FF"/>
          </w:rPr>
          <w:t>GEF Fee Policy</w:t>
        </w:r>
        <w:r w:rsidR="00D65794">
          <w:rPr>
            <w:color w:val="0000FF"/>
          </w:rPr>
          <w:t xml:space="preserve"> </w:t>
        </w:r>
      </w:hyperlink>
      <w:r w:rsidR="00D65794">
        <w:t>dated 5 August</w:t>
      </w:r>
      <w:r w:rsidR="00D65794">
        <w:rPr>
          <w:spacing w:val="-6"/>
        </w:rPr>
        <w:t xml:space="preserve"> </w:t>
      </w:r>
      <w:r w:rsidR="00D65794">
        <w:t>2012</w:t>
      </w:r>
    </w:p>
    <w:p w14:paraId="269DFA6D" w14:textId="77777777" w:rsidR="00C23B76" w:rsidRDefault="00C23B76">
      <w:pPr>
        <w:pStyle w:val="BodyText"/>
        <w:spacing w:before="9"/>
        <w:rPr>
          <w:sz w:val="20"/>
        </w:rPr>
      </w:pPr>
    </w:p>
    <w:p w14:paraId="269DFA6E" w14:textId="77777777" w:rsidR="00C23B76" w:rsidRDefault="00D65794">
      <w:pPr>
        <w:pStyle w:val="Heading1"/>
        <w:spacing w:before="57"/>
        <w:ind w:firstLine="0"/>
      </w:pPr>
      <w:r>
        <w:t>Annex B: GEF Corporate Services</w:t>
      </w:r>
    </w:p>
    <w:p w14:paraId="269DFA6F" w14:textId="77777777" w:rsidR="00C23B76" w:rsidRDefault="00D65794">
      <w:pPr>
        <w:pStyle w:val="ListParagraph"/>
        <w:numPr>
          <w:ilvl w:val="0"/>
          <w:numId w:val="3"/>
        </w:numPr>
        <w:tabs>
          <w:tab w:val="left" w:pos="398"/>
        </w:tabs>
        <w:spacing w:before="182"/>
        <w:ind w:hanging="298"/>
        <w:rPr>
          <w:b/>
        </w:rPr>
      </w:pPr>
      <w:r>
        <w:rPr>
          <w:b/>
        </w:rPr>
        <w:t>Project</w:t>
      </w:r>
      <w:r>
        <w:rPr>
          <w:b/>
          <w:spacing w:val="-1"/>
        </w:rPr>
        <w:t xml:space="preserve"> </w:t>
      </w:r>
      <w:r>
        <w:rPr>
          <w:b/>
        </w:rPr>
        <w:t>identification</w:t>
      </w:r>
    </w:p>
    <w:p w14:paraId="269DFA70" w14:textId="77777777" w:rsidR="00C23B76" w:rsidRDefault="00D65794">
      <w:pPr>
        <w:pStyle w:val="ListParagraph"/>
        <w:numPr>
          <w:ilvl w:val="1"/>
          <w:numId w:val="3"/>
        </w:numPr>
        <w:tabs>
          <w:tab w:val="left" w:pos="820"/>
          <w:tab w:val="left" w:pos="821"/>
        </w:tabs>
        <w:spacing w:before="1"/>
        <w:ind w:right="492"/>
      </w:pPr>
      <w:r>
        <w:t>Consult with appropriate stakeholders in-country, including the GEF Operational Focal Point, identify opportunities for GEF financing, using country dialogue and other country planning/sector strategy documents as a</w:t>
      </w:r>
      <w:r>
        <w:rPr>
          <w:spacing w:val="-5"/>
        </w:rPr>
        <w:t xml:space="preserve"> </w:t>
      </w:r>
      <w:r>
        <w:t>basis.</w:t>
      </w:r>
    </w:p>
    <w:p w14:paraId="269DFA71" w14:textId="77777777" w:rsidR="00C23B76" w:rsidRDefault="00D65794">
      <w:pPr>
        <w:pStyle w:val="ListParagraph"/>
        <w:numPr>
          <w:ilvl w:val="1"/>
          <w:numId w:val="3"/>
        </w:numPr>
        <w:tabs>
          <w:tab w:val="left" w:pos="820"/>
          <w:tab w:val="left" w:pos="821"/>
        </w:tabs>
        <w:spacing w:before="4" w:line="237" w:lineRule="auto"/>
        <w:ind w:right="297"/>
      </w:pPr>
      <w:r>
        <w:t>Together with the involved governments, identify the possible Project Executing Entity (EA) for the project and review the proposed execution</w:t>
      </w:r>
      <w:r>
        <w:rPr>
          <w:spacing w:val="-11"/>
        </w:rPr>
        <w:t xml:space="preserve"> </w:t>
      </w:r>
      <w:r>
        <w:t>arrangements.</w:t>
      </w:r>
    </w:p>
    <w:p w14:paraId="269DFA72" w14:textId="77777777" w:rsidR="00C23B76" w:rsidRDefault="00D65794">
      <w:pPr>
        <w:pStyle w:val="ListParagraph"/>
        <w:numPr>
          <w:ilvl w:val="1"/>
          <w:numId w:val="3"/>
        </w:numPr>
        <w:tabs>
          <w:tab w:val="left" w:pos="820"/>
          <w:tab w:val="left" w:pos="821"/>
        </w:tabs>
        <w:spacing w:before="1"/>
        <w:ind w:hanging="361"/>
      </w:pPr>
      <w:r>
        <w:t>Together with the project proponent, review options for co-financing and</w:t>
      </w:r>
      <w:r>
        <w:rPr>
          <w:spacing w:val="-19"/>
        </w:rPr>
        <w:t xml:space="preserve"> </w:t>
      </w:r>
      <w:r>
        <w:t>partnerships.</w:t>
      </w:r>
    </w:p>
    <w:p w14:paraId="269DFA73" w14:textId="77777777" w:rsidR="00C23B76" w:rsidRDefault="00D65794">
      <w:pPr>
        <w:pStyle w:val="ListParagraph"/>
        <w:numPr>
          <w:ilvl w:val="1"/>
          <w:numId w:val="3"/>
        </w:numPr>
        <w:tabs>
          <w:tab w:val="left" w:pos="820"/>
          <w:tab w:val="left" w:pos="821"/>
        </w:tabs>
        <w:spacing w:before="1"/>
        <w:ind w:right="330"/>
      </w:pPr>
      <w:r>
        <w:t>Incorporate GEF opportunities in appropriate planning/country assistance strategy documents of the GEF</w:t>
      </w:r>
      <w:r>
        <w:rPr>
          <w:spacing w:val="-2"/>
        </w:rPr>
        <w:t xml:space="preserve"> </w:t>
      </w:r>
      <w:r>
        <w:t>Agency.</w:t>
      </w:r>
    </w:p>
    <w:p w14:paraId="269DFA74" w14:textId="77777777" w:rsidR="00C23B76" w:rsidRDefault="00C23B76">
      <w:pPr>
        <w:pStyle w:val="BodyText"/>
      </w:pPr>
    </w:p>
    <w:p w14:paraId="269DFA75" w14:textId="77777777" w:rsidR="00C23B76" w:rsidRDefault="00D65794">
      <w:pPr>
        <w:pStyle w:val="Heading1"/>
        <w:numPr>
          <w:ilvl w:val="0"/>
          <w:numId w:val="3"/>
        </w:numPr>
        <w:tabs>
          <w:tab w:val="left" w:pos="407"/>
        </w:tabs>
        <w:spacing w:before="1" w:line="268" w:lineRule="exact"/>
        <w:ind w:left="406" w:hanging="307"/>
      </w:pPr>
      <w:r>
        <w:t>Preparation of project</w:t>
      </w:r>
      <w:r>
        <w:rPr>
          <w:spacing w:val="-5"/>
        </w:rPr>
        <w:t xml:space="preserve"> </w:t>
      </w:r>
      <w:r>
        <w:t>concept</w:t>
      </w:r>
    </w:p>
    <w:p w14:paraId="269DFA76" w14:textId="77777777" w:rsidR="00C23B76" w:rsidRDefault="00D65794">
      <w:pPr>
        <w:pStyle w:val="ListParagraph"/>
        <w:numPr>
          <w:ilvl w:val="1"/>
          <w:numId w:val="3"/>
        </w:numPr>
        <w:tabs>
          <w:tab w:val="left" w:pos="820"/>
          <w:tab w:val="left" w:pos="821"/>
        </w:tabs>
        <w:ind w:right="232"/>
      </w:pPr>
      <w:r>
        <w:t>Discuss GEF eligibility criteria with the recipient country’s GEF operational focal point and other stakeholders.</w:t>
      </w:r>
    </w:p>
    <w:p w14:paraId="269DFA77" w14:textId="77777777" w:rsidR="00C23B76" w:rsidRDefault="00D65794">
      <w:pPr>
        <w:pStyle w:val="ListParagraph"/>
        <w:numPr>
          <w:ilvl w:val="1"/>
          <w:numId w:val="3"/>
        </w:numPr>
        <w:tabs>
          <w:tab w:val="left" w:pos="820"/>
          <w:tab w:val="left" w:pos="821"/>
        </w:tabs>
        <w:ind w:hanging="361"/>
      </w:pPr>
      <w:r>
        <w:t>Undertake brief in-country consultation mission if</w:t>
      </w:r>
      <w:r>
        <w:rPr>
          <w:spacing w:val="-10"/>
        </w:rPr>
        <w:t xml:space="preserve"> </w:t>
      </w:r>
      <w:r>
        <w:t>necessary.</w:t>
      </w:r>
    </w:p>
    <w:p w14:paraId="269DFA78" w14:textId="77777777" w:rsidR="00C23B76" w:rsidRDefault="00D65794">
      <w:pPr>
        <w:pStyle w:val="ListParagraph"/>
        <w:numPr>
          <w:ilvl w:val="1"/>
          <w:numId w:val="3"/>
        </w:numPr>
        <w:tabs>
          <w:tab w:val="left" w:pos="820"/>
          <w:tab w:val="left" w:pos="821"/>
        </w:tabs>
        <w:ind w:hanging="361"/>
      </w:pPr>
      <w:r>
        <w:t>Consult within the GEF</w:t>
      </w:r>
      <w:r>
        <w:rPr>
          <w:spacing w:val="-7"/>
        </w:rPr>
        <w:t xml:space="preserve"> </w:t>
      </w:r>
      <w:r>
        <w:t>Agency.</w:t>
      </w:r>
    </w:p>
    <w:p w14:paraId="269DFA79" w14:textId="77777777" w:rsidR="00C23B76" w:rsidRDefault="00D65794">
      <w:pPr>
        <w:pStyle w:val="ListParagraph"/>
        <w:numPr>
          <w:ilvl w:val="1"/>
          <w:numId w:val="3"/>
        </w:numPr>
        <w:tabs>
          <w:tab w:val="left" w:pos="820"/>
          <w:tab w:val="left" w:pos="821"/>
        </w:tabs>
        <w:spacing w:before="1"/>
        <w:ind w:right="135"/>
      </w:pPr>
      <w:r>
        <w:t>Assist project proponent to prepare PIF, in consultation with appropriate stakeholders, including the GEF operational focal point and the GEF</w:t>
      </w:r>
      <w:r>
        <w:rPr>
          <w:spacing w:val="-7"/>
        </w:rPr>
        <w:t xml:space="preserve"> </w:t>
      </w:r>
      <w:r>
        <w:t>Secretariat.</w:t>
      </w:r>
    </w:p>
    <w:p w14:paraId="269DFA7A" w14:textId="77777777" w:rsidR="00C23B76" w:rsidRDefault="00D65794">
      <w:pPr>
        <w:pStyle w:val="ListParagraph"/>
        <w:numPr>
          <w:ilvl w:val="1"/>
          <w:numId w:val="3"/>
        </w:numPr>
        <w:tabs>
          <w:tab w:val="left" w:pos="820"/>
          <w:tab w:val="left" w:pos="821"/>
        </w:tabs>
        <w:spacing w:line="279" w:lineRule="exact"/>
        <w:ind w:hanging="361"/>
      </w:pPr>
      <w:r>
        <w:t>Assist the project proponent to prepare the</w:t>
      </w:r>
      <w:r>
        <w:rPr>
          <w:spacing w:val="-8"/>
        </w:rPr>
        <w:t xml:space="preserve"> </w:t>
      </w:r>
      <w:r>
        <w:t>PPG.</w:t>
      </w:r>
    </w:p>
    <w:p w14:paraId="269DFA7B" w14:textId="77777777" w:rsidR="00C23B76" w:rsidRDefault="00D65794">
      <w:pPr>
        <w:pStyle w:val="ListParagraph"/>
        <w:numPr>
          <w:ilvl w:val="1"/>
          <w:numId w:val="3"/>
        </w:numPr>
        <w:tabs>
          <w:tab w:val="left" w:pos="820"/>
          <w:tab w:val="left" w:pos="821"/>
        </w:tabs>
        <w:ind w:hanging="361"/>
      </w:pPr>
      <w:r>
        <w:t>Obtain endorsement letter(s) from the GEF operational focal</w:t>
      </w:r>
      <w:r>
        <w:rPr>
          <w:spacing w:val="-15"/>
        </w:rPr>
        <w:t xml:space="preserve"> </w:t>
      </w:r>
      <w:r>
        <w:t>point(s).</w:t>
      </w:r>
    </w:p>
    <w:p w14:paraId="269DFA7C" w14:textId="77777777" w:rsidR="00C23B76" w:rsidRDefault="00D65794">
      <w:pPr>
        <w:pStyle w:val="ListParagraph"/>
        <w:numPr>
          <w:ilvl w:val="1"/>
          <w:numId w:val="3"/>
        </w:numPr>
        <w:tabs>
          <w:tab w:val="left" w:pos="820"/>
          <w:tab w:val="left" w:pos="821"/>
        </w:tabs>
        <w:spacing w:before="1"/>
        <w:ind w:hanging="361"/>
      </w:pPr>
      <w:r>
        <w:t>Discuss with the GEF Secretariat PIF clearance and PPG</w:t>
      </w:r>
      <w:r>
        <w:rPr>
          <w:spacing w:val="-10"/>
        </w:rPr>
        <w:t xml:space="preserve"> </w:t>
      </w:r>
      <w:r>
        <w:t>approval.</w:t>
      </w:r>
    </w:p>
    <w:p w14:paraId="269DFA7D" w14:textId="77777777" w:rsidR="00C23B76" w:rsidRDefault="00C23B76">
      <w:pPr>
        <w:pStyle w:val="BodyText"/>
      </w:pPr>
    </w:p>
    <w:p w14:paraId="269DFA7E" w14:textId="77777777" w:rsidR="00C23B76" w:rsidRDefault="00D65794">
      <w:pPr>
        <w:pStyle w:val="Heading1"/>
        <w:numPr>
          <w:ilvl w:val="0"/>
          <w:numId w:val="3"/>
        </w:numPr>
        <w:tabs>
          <w:tab w:val="left" w:pos="381"/>
        </w:tabs>
        <w:spacing w:line="268" w:lineRule="exact"/>
        <w:ind w:left="380" w:hanging="281"/>
      </w:pPr>
      <w:r>
        <w:t>Preparation of the detailed Project</w:t>
      </w:r>
      <w:r>
        <w:rPr>
          <w:spacing w:val="-5"/>
        </w:rPr>
        <w:t xml:space="preserve"> </w:t>
      </w:r>
      <w:r>
        <w:t>Document</w:t>
      </w:r>
    </w:p>
    <w:p w14:paraId="269DFA7F" w14:textId="77777777" w:rsidR="00C23B76" w:rsidRDefault="00D65794">
      <w:pPr>
        <w:pStyle w:val="ListParagraph"/>
        <w:numPr>
          <w:ilvl w:val="1"/>
          <w:numId w:val="3"/>
        </w:numPr>
        <w:tabs>
          <w:tab w:val="left" w:pos="820"/>
          <w:tab w:val="left" w:pos="821"/>
        </w:tabs>
        <w:ind w:right="763"/>
      </w:pPr>
      <w:r>
        <w:t>Prepare and execute legal agreements for PPG activities. Keep the operational focal point informed.</w:t>
      </w:r>
    </w:p>
    <w:p w14:paraId="269DFA80" w14:textId="77777777" w:rsidR="00C23B76" w:rsidRDefault="00D65794">
      <w:pPr>
        <w:pStyle w:val="ListParagraph"/>
        <w:numPr>
          <w:ilvl w:val="1"/>
          <w:numId w:val="3"/>
        </w:numPr>
        <w:tabs>
          <w:tab w:val="left" w:pos="820"/>
          <w:tab w:val="left" w:pos="821"/>
        </w:tabs>
        <w:ind w:right="567"/>
      </w:pPr>
      <w:r>
        <w:t>Help the project proponent write terms of reference (TORs) for consultant(s), if required,</w:t>
      </w:r>
      <w:r>
        <w:rPr>
          <w:spacing w:val="-30"/>
        </w:rPr>
        <w:t xml:space="preserve"> </w:t>
      </w:r>
      <w:r>
        <w:t>to undertake PPG</w:t>
      </w:r>
      <w:r>
        <w:rPr>
          <w:spacing w:val="-3"/>
        </w:rPr>
        <w:t xml:space="preserve"> </w:t>
      </w:r>
      <w:r>
        <w:t>activities.</w:t>
      </w:r>
    </w:p>
    <w:p w14:paraId="269DFA81" w14:textId="77777777" w:rsidR="00C23B76" w:rsidRDefault="00D65794">
      <w:pPr>
        <w:pStyle w:val="ListParagraph"/>
        <w:numPr>
          <w:ilvl w:val="1"/>
          <w:numId w:val="3"/>
        </w:numPr>
        <w:tabs>
          <w:tab w:val="left" w:pos="820"/>
          <w:tab w:val="left" w:pos="821"/>
        </w:tabs>
        <w:spacing w:before="1"/>
        <w:ind w:right="195"/>
      </w:pPr>
      <w:r>
        <w:t>Assist the project proponent to identify and recruit consultants to assist with project preparation, if necessary. (iv) Supervise project preparation, in consultation with all appropriate stakeholders, including missions to the field, with particular focus on risk assessment, governance issues, execution arrangements, co-financing, capacity development, partnership building and</w:t>
      </w:r>
      <w:r>
        <w:rPr>
          <w:spacing w:val="-2"/>
        </w:rPr>
        <w:t xml:space="preserve"> </w:t>
      </w:r>
      <w:r>
        <w:t>outreach.</w:t>
      </w:r>
    </w:p>
    <w:p w14:paraId="269DFA82" w14:textId="77777777" w:rsidR="00C23B76" w:rsidRDefault="00D65794">
      <w:pPr>
        <w:pStyle w:val="ListParagraph"/>
        <w:numPr>
          <w:ilvl w:val="1"/>
          <w:numId w:val="3"/>
        </w:numPr>
        <w:tabs>
          <w:tab w:val="left" w:pos="820"/>
          <w:tab w:val="left" w:pos="821"/>
        </w:tabs>
        <w:ind w:right="772"/>
      </w:pPr>
      <w:r>
        <w:t>Negotiate and reach agreement on incremental cost with government and other relevant stakeholders.</w:t>
      </w:r>
    </w:p>
    <w:p w14:paraId="269DFA83" w14:textId="77777777" w:rsidR="00C23B76" w:rsidRDefault="00D65794">
      <w:pPr>
        <w:pStyle w:val="ListParagraph"/>
        <w:numPr>
          <w:ilvl w:val="1"/>
          <w:numId w:val="3"/>
        </w:numPr>
        <w:tabs>
          <w:tab w:val="left" w:pos="820"/>
          <w:tab w:val="left" w:pos="821"/>
        </w:tabs>
        <w:ind w:hanging="361"/>
      </w:pPr>
      <w:r>
        <w:t>Provide technical oversight on the preparation of GEF tracking tools for different focal</w:t>
      </w:r>
      <w:r>
        <w:rPr>
          <w:spacing w:val="-22"/>
        </w:rPr>
        <w:t xml:space="preserve"> </w:t>
      </w:r>
      <w:r>
        <w:t>areas.</w:t>
      </w:r>
    </w:p>
    <w:p w14:paraId="269DFA84" w14:textId="77777777" w:rsidR="00C23B76" w:rsidRDefault="00D65794">
      <w:pPr>
        <w:pStyle w:val="ListParagraph"/>
        <w:numPr>
          <w:ilvl w:val="1"/>
          <w:numId w:val="3"/>
        </w:numPr>
        <w:tabs>
          <w:tab w:val="left" w:pos="820"/>
          <w:tab w:val="left" w:pos="821"/>
        </w:tabs>
        <w:spacing w:before="1"/>
        <w:ind w:right="506"/>
      </w:pPr>
      <w:r>
        <w:t>Submit Project Document with Request for CEO Endorsement/Approval template to the GEF Secretariat.</w:t>
      </w:r>
    </w:p>
    <w:p w14:paraId="269DFA85" w14:textId="77777777" w:rsidR="00C23B76" w:rsidRDefault="00D65794">
      <w:pPr>
        <w:pStyle w:val="ListParagraph"/>
        <w:numPr>
          <w:ilvl w:val="1"/>
          <w:numId w:val="3"/>
        </w:numPr>
        <w:tabs>
          <w:tab w:val="left" w:pos="820"/>
          <w:tab w:val="left" w:pos="821"/>
        </w:tabs>
        <w:ind w:right="251"/>
      </w:pPr>
      <w:r>
        <w:t>Coordinate with relevant stakeholders in formulating programs; prepare a Program Framework Document (PFD) for submission to the GEF Secretariat for work program entry and</w:t>
      </w:r>
      <w:r>
        <w:rPr>
          <w:spacing w:val="-26"/>
        </w:rPr>
        <w:t xml:space="preserve"> </w:t>
      </w:r>
      <w:r>
        <w:t>Council</w:t>
      </w:r>
    </w:p>
    <w:p w14:paraId="269DFA86" w14:textId="77777777" w:rsidR="00C23B76" w:rsidRDefault="00C23B76">
      <w:pPr>
        <w:sectPr w:rsidR="00C23B76">
          <w:pgSz w:w="12240" w:h="15840"/>
          <w:pgMar w:top="1340" w:right="1320" w:bottom="1500" w:left="1340" w:header="182" w:footer="1314" w:gutter="0"/>
          <w:cols w:space="720"/>
        </w:sectPr>
      </w:pPr>
    </w:p>
    <w:p w14:paraId="269DFA87" w14:textId="77777777" w:rsidR="00C23B76" w:rsidRDefault="00D65794">
      <w:pPr>
        <w:pStyle w:val="BodyText"/>
        <w:spacing w:before="90"/>
        <w:ind w:left="820" w:right="396"/>
        <w:jc w:val="both"/>
      </w:pPr>
      <w:r>
        <w:lastRenderedPageBreak/>
        <w:t>approval; implement the programs; monitor and report on progress of the programs, prepare and submit for approval all Child Projects under the program; complete implementation of all Child Projects under the program.</w:t>
      </w:r>
    </w:p>
    <w:p w14:paraId="269DFA88" w14:textId="77777777" w:rsidR="00C23B76" w:rsidRPr="003561EF" w:rsidRDefault="00C23B76">
      <w:pPr>
        <w:pStyle w:val="BodyText"/>
        <w:spacing w:before="11"/>
        <w:rPr>
          <w:sz w:val="16"/>
          <w:szCs w:val="16"/>
        </w:rPr>
      </w:pPr>
    </w:p>
    <w:p w14:paraId="269DFA89" w14:textId="77777777" w:rsidR="00C23B76" w:rsidRDefault="00D65794">
      <w:pPr>
        <w:pStyle w:val="Heading1"/>
        <w:numPr>
          <w:ilvl w:val="0"/>
          <w:numId w:val="3"/>
        </w:numPr>
        <w:tabs>
          <w:tab w:val="left" w:pos="407"/>
        </w:tabs>
        <w:ind w:left="406" w:hanging="307"/>
      </w:pPr>
      <w:r>
        <w:t>Project Approval and</w:t>
      </w:r>
      <w:r>
        <w:rPr>
          <w:spacing w:val="-2"/>
        </w:rPr>
        <w:t xml:space="preserve"> </w:t>
      </w:r>
      <w:r>
        <w:t>Start-up</w:t>
      </w:r>
    </w:p>
    <w:p w14:paraId="269DFA8A" w14:textId="77777777" w:rsidR="00C23B76" w:rsidRDefault="00D65794">
      <w:pPr>
        <w:pStyle w:val="ListParagraph"/>
        <w:numPr>
          <w:ilvl w:val="1"/>
          <w:numId w:val="3"/>
        </w:numPr>
        <w:tabs>
          <w:tab w:val="left" w:pos="820"/>
          <w:tab w:val="left" w:pos="821"/>
        </w:tabs>
        <w:spacing w:before="1"/>
        <w:ind w:hanging="361"/>
      </w:pPr>
      <w:r>
        <w:t>Appraise the project and finalize project implementation arrangements, including mission</w:t>
      </w:r>
      <w:r>
        <w:rPr>
          <w:spacing w:val="-19"/>
        </w:rPr>
        <w:t xml:space="preserve"> </w:t>
      </w:r>
      <w:r>
        <w:t>travel.</w:t>
      </w:r>
    </w:p>
    <w:p w14:paraId="269DFA8B" w14:textId="77777777" w:rsidR="00C23B76" w:rsidRDefault="00D65794">
      <w:pPr>
        <w:pStyle w:val="ListParagraph"/>
        <w:numPr>
          <w:ilvl w:val="1"/>
          <w:numId w:val="3"/>
        </w:numPr>
        <w:tabs>
          <w:tab w:val="left" w:pos="820"/>
          <w:tab w:val="left" w:pos="821"/>
        </w:tabs>
        <w:ind w:hanging="361"/>
      </w:pPr>
      <w:r>
        <w:t>Prepare legal and other documentation for approval by the GEF Agency approval</w:t>
      </w:r>
      <w:r>
        <w:rPr>
          <w:spacing w:val="-20"/>
        </w:rPr>
        <w:t xml:space="preserve"> </w:t>
      </w:r>
      <w:r>
        <w:t>authority.</w:t>
      </w:r>
    </w:p>
    <w:p w14:paraId="269DFA8C" w14:textId="77777777" w:rsidR="00C23B76" w:rsidRDefault="00D65794">
      <w:pPr>
        <w:pStyle w:val="ListParagraph"/>
        <w:numPr>
          <w:ilvl w:val="1"/>
          <w:numId w:val="3"/>
        </w:numPr>
        <w:tabs>
          <w:tab w:val="left" w:pos="820"/>
          <w:tab w:val="left" w:pos="821"/>
        </w:tabs>
        <w:spacing w:before="1"/>
        <w:ind w:right="432"/>
      </w:pPr>
      <w:r>
        <w:t>Advise the project proponent on the establishment of a project management structure in the recipient</w:t>
      </w:r>
      <w:r>
        <w:rPr>
          <w:spacing w:val="-1"/>
        </w:rPr>
        <w:t xml:space="preserve"> </w:t>
      </w:r>
      <w:r>
        <w:t>country/countries.</w:t>
      </w:r>
    </w:p>
    <w:p w14:paraId="269DFA8D" w14:textId="77777777" w:rsidR="00C23B76" w:rsidRDefault="00D65794">
      <w:pPr>
        <w:pStyle w:val="ListParagraph"/>
        <w:numPr>
          <w:ilvl w:val="1"/>
          <w:numId w:val="3"/>
        </w:numPr>
        <w:tabs>
          <w:tab w:val="left" w:pos="820"/>
          <w:tab w:val="left" w:pos="821"/>
        </w:tabs>
        <w:ind w:right="1337"/>
      </w:pPr>
      <w:r>
        <w:t>Assist project management to draft TORs and advise on the selection of experts for implementation.</w:t>
      </w:r>
    </w:p>
    <w:p w14:paraId="269DFA8E" w14:textId="77777777" w:rsidR="00C23B76" w:rsidRDefault="00D65794">
      <w:pPr>
        <w:pStyle w:val="ListParagraph"/>
        <w:numPr>
          <w:ilvl w:val="1"/>
          <w:numId w:val="3"/>
        </w:numPr>
        <w:tabs>
          <w:tab w:val="left" w:pos="820"/>
          <w:tab w:val="left" w:pos="821"/>
        </w:tabs>
        <w:ind w:hanging="361"/>
      </w:pPr>
      <w:r>
        <w:t>Advise on and participate in project start-up</w:t>
      </w:r>
      <w:r>
        <w:rPr>
          <w:spacing w:val="-8"/>
        </w:rPr>
        <w:t xml:space="preserve"> </w:t>
      </w:r>
      <w:r>
        <w:t>workshop.</w:t>
      </w:r>
    </w:p>
    <w:p w14:paraId="269DFA8F" w14:textId="77777777" w:rsidR="00C23B76" w:rsidRPr="003561EF" w:rsidRDefault="00C23B76">
      <w:pPr>
        <w:pStyle w:val="BodyText"/>
        <w:rPr>
          <w:sz w:val="16"/>
          <w:szCs w:val="16"/>
        </w:rPr>
      </w:pPr>
    </w:p>
    <w:p w14:paraId="269DFA90" w14:textId="77777777" w:rsidR="00C23B76" w:rsidRDefault="00D65794">
      <w:pPr>
        <w:pStyle w:val="Heading1"/>
        <w:numPr>
          <w:ilvl w:val="0"/>
          <w:numId w:val="3"/>
        </w:numPr>
        <w:tabs>
          <w:tab w:val="left" w:pos="400"/>
        </w:tabs>
        <w:ind w:left="399" w:hanging="300"/>
      </w:pPr>
      <w:r>
        <w:t>Project implementation and</w:t>
      </w:r>
      <w:r>
        <w:rPr>
          <w:spacing w:val="-3"/>
        </w:rPr>
        <w:t xml:space="preserve"> </w:t>
      </w:r>
      <w:r>
        <w:t>supervision</w:t>
      </w:r>
    </w:p>
    <w:p w14:paraId="269DFA91" w14:textId="77777777" w:rsidR="00C23B76" w:rsidRDefault="00D65794">
      <w:pPr>
        <w:pStyle w:val="ListParagraph"/>
        <w:numPr>
          <w:ilvl w:val="1"/>
          <w:numId w:val="3"/>
        </w:numPr>
        <w:tabs>
          <w:tab w:val="left" w:pos="820"/>
          <w:tab w:val="left" w:pos="821"/>
        </w:tabs>
        <w:spacing w:before="1"/>
        <w:ind w:right="210"/>
      </w:pPr>
      <w:r>
        <w:t>Conduct at least one supervision mission per year, including briefing operational focal points on project progress. (ii) Provide technical guidance, as necessary, for project</w:t>
      </w:r>
      <w:r>
        <w:rPr>
          <w:spacing w:val="-17"/>
        </w:rPr>
        <w:t xml:space="preserve"> </w:t>
      </w:r>
      <w:r>
        <w:t>implementation.</w:t>
      </w:r>
    </w:p>
    <w:p w14:paraId="269DFA92" w14:textId="77777777" w:rsidR="00C23B76" w:rsidRDefault="00D65794">
      <w:pPr>
        <w:pStyle w:val="ListParagraph"/>
        <w:numPr>
          <w:ilvl w:val="1"/>
          <w:numId w:val="3"/>
        </w:numPr>
        <w:tabs>
          <w:tab w:val="left" w:pos="820"/>
          <w:tab w:val="left" w:pos="821"/>
        </w:tabs>
        <w:ind w:right="404"/>
      </w:pPr>
      <w:r>
        <w:t>As necessary, include technical consultants during supervision missions to advise government officials on technical matters and provide technical assistance for the project as</w:t>
      </w:r>
      <w:r>
        <w:rPr>
          <w:spacing w:val="-17"/>
        </w:rPr>
        <w:t xml:space="preserve"> </w:t>
      </w:r>
      <w:r>
        <w:t>needed.</w:t>
      </w:r>
    </w:p>
    <w:p w14:paraId="269DFA93" w14:textId="77777777" w:rsidR="00C23B76" w:rsidRDefault="00D65794">
      <w:pPr>
        <w:pStyle w:val="ListParagraph"/>
        <w:numPr>
          <w:ilvl w:val="1"/>
          <w:numId w:val="3"/>
        </w:numPr>
        <w:tabs>
          <w:tab w:val="left" w:pos="820"/>
          <w:tab w:val="left" w:pos="821"/>
        </w:tabs>
        <w:ind w:right="745"/>
      </w:pPr>
      <w:r>
        <w:t>Oversee procurement and financial management to ensure implementation is in line with Agency policies and</w:t>
      </w:r>
      <w:r>
        <w:rPr>
          <w:spacing w:val="-4"/>
        </w:rPr>
        <w:t xml:space="preserve"> </w:t>
      </w:r>
      <w:r>
        <w:t>timeline.</w:t>
      </w:r>
    </w:p>
    <w:p w14:paraId="269DFA94" w14:textId="77777777" w:rsidR="00C23B76" w:rsidRDefault="00D65794">
      <w:pPr>
        <w:pStyle w:val="ListParagraph"/>
        <w:numPr>
          <w:ilvl w:val="1"/>
          <w:numId w:val="3"/>
        </w:numPr>
        <w:tabs>
          <w:tab w:val="left" w:pos="820"/>
          <w:tab w:val="left" w:pos="821"/>
        </w:tabs>
        <w:ind w:hanging="361"/>
      </w:pPr>
      <w:r>
        <w:t>Disburse funds to the EA and review financial</w:t>
      </w:r>
      <w:r>
        <w:rPr>
          <w:spacing w:val="-6"/>
        </w:rPr>
        <w:t xml:space="preserve"> </w:t>
      </w:r>
      <w:r>
        <w:t>reports.</w:t>
      </w:r>
    </w:p>
    <w:p w14:paraId="269DFA95" w14:textId="77777777" w:rsidR="00C23B76" w:rsidRDefault="00D65794">
      <w:pPr>
        <w:pStyle w:val="ListParagraph"/>
        <w:numPr>
          <w:ilvl w:val="1"/>
          <w:numId w:val="3"/>
        </w:numPr>
        <w:tabs>
          <w:tab w:val="left" w:pos="820"/>
          <w:tab w:val="left" w:pos="821"/>
        </w:tabs>
        <w:spacing w:line="279" w:lineRule="exact"/>
        <w:ind w:hanging="361"/>
      </w:pPr>
      <w:r>
        <w:t>Oversee the preparation of the required reports132 for submission to the GEF</w:t>
      </w:r>
      <w:r>
        <w:rPr>
          <w:spacing w:val="-12"/>
        </w:rPr>
        <w:t xml:space="preserve"> </w:t>
      </w:r>
      <w:r>
        <w:t>Secretariat.</w:t>
      </w:r>
    </w:p>
    <w:p w14:paraId="269DFA96" w14:textId="77777777" w:rsidR="00C23B76" w:rsidRDefault="00D65794">
      <w:pPr>
        <w:pStyle w:val="ListParagraph"/>
        <w:numPr>
          <w:ilvl w:val="1"/>
          <w:numId w:val="3"/>
        </w:numPr>
        <w:tabs>
          <w:tab w:val="left" w:pos="820"/>
          <w:tab w:val="left" w:pos="821"/>
        </w:tabs>
        <w:spacing w:line="279" w:lineRule="exact"/>
        <w:ind w:hanging="361"/>
      </w:pPr>
      <w:r>
        <w:t>Monitor and review project expenditure</w:t>
      </w:r>
      <w:r>
        <w:rPr>
          <w:spacing w:val="-2"/>
        </w:rPr>
        <w:t xml:space="preserve"> </w:t>
      </w:r>
      <w:r>
        <w:t>reports.</w:t>
      </w:r>
    </w:p>
    <w:p w14:paraId="269DFA97" w14:textId="77777777" w:rsidR="00C23B76" w:rsidRDefault="00D65794">
      <w:pPr>
        <w:pStyle w:val="ListParagraph"/>
        <w:numPr>
          <w:ilvl w:val="1"/>
          <w:numId w:val="3"/>
        </w:numPr>
        <w:tabs>
          <w:tab w:val="left" w:pos="820"/>
          <w:tab w:val="left" w:pos="821"/>
        </w:tabs>
        <w:spacing w:before="1"/>
        <w:ind w:hanging="361"/>
      </w:pPr>
      <w:r>
        <w:t>Prepare periodic revisions to reflect changes in annual expense category</w:t>
      </w:r>
      <w:r>
        <w:rPr>
          <w:spacing w:val="-12"/>
        </w:rPr>
        <w:t xml:space="preserve"> </w:t>
      </w:r>
      <w:r>
        <w:t>budgets.</w:t>
      </w:r>
    </w:p>
    <w:p w14:paraId="269DFA98" w14:textId="77777777" w:rsidR="00C23B76" w:rsidRDefault="00D65794">
      <w:pPr>
        <w:pStyle w:val="ListParagraph"/>
        <w:numPr>
          <w:ilvl w:val="1"/>
          <w:numId w:val="3"/>
        </w:numPr>
        <w:tabs>
          <w:tab w:val="left" w:pos="820"/>
          <w:tab w:val="left" w:pos="821"/>
        </w:tabs>
        <w:ind w:right="151"/>
      </w:pPr>
      <w:r>
        <w:t>Undertake the mid-term review, including possible project restructuring. Send a copy to the GEF Secretariat.</w:t>
      </w:r>
    </w:p>
    <w:p w14:paraId="269DFA99" w14:textId="77777777" w:rsidR="00C23B76" w:rsidRPr="003561EF" w:rsidRDefault="00C23B76">
      <w:pPr>
        <w:pStyle w:val="BodyText"/>
        <w:spacing w:before="1"/>
        <w:rPr>
          <w:sz w:val="16"/>
          <w:szCs w:val="16"/>
        </w:rPr>
      </w:pPr>
    </w:p>
    <w:p w14:paraId="269DFA9A" w14:textId="77777777" w:rsidR="00C23B76" w:rsidRDefault="00D65794">
      <w:pPr>
        <w:pStyle w:val="Heading1"/>
        <w:numPr>
          <w:ilvl w:val="0"/>
          <w:numId w:val="3"/>
        </w:numPr>
        <w:tabs>
          <w:tab w:val="left" w:pos="359"/>
        </w:tabs>
        <w:spacing w:line="268" w:lineRule="exact"/>
        <w:ind w:left="358" w:hanging="259"/>
      </w:pPr>
      <w:r>
        <w:t>Project completion and</w:t>
      </w:r>
      <w:r>
        <w:rPr>
          <w:spacing w:val="-5"/>
        </w:rPr>
        <w:t xml:space="preserve"> </w:t>
      </w:r>
      <w:r>
        <w:t>evaluation</w:t>
      </w:r>
    </w:p>
    <w:p w14:paraId="269DFA9B" w14:textId="77777777" w:rsidR="00C23B76" w:rsidRDefault="00D65794">
      <w:pPr>
        <w:pStyle w:val="ListParagraph"/>
        <w:numPr>
          <w:ilvl w:val="1"/>
          <w:numId w:val="3"/>
        </w:numPr>
        <w:tabs>
          <w:tab w:val="left" w:pos="820"/>
          <w:tab w:val="left" w:pos="821"/>
        </w:tabs>
        <w:ind w:right="421"/>
      </w:pPr>
      <w:r>
        <w:t>Oversee the preparation of the Project Completion Report/Independent Terminal Evaluation, submit the report to the GEFIEO and send a copy to the GEF</w:t>
      </w:r>
      <w:r>
        <w:rPr>
          <w:spacing w:val="-14"/>
        </w:rPr>
        <w:t xml:space="preserve"> </w:t>
      </w:r>
      <w:r>
        <w:t>Secretariat.</w:t>
      </w:r>
    </w:p>
    <w:p w14:paraId="269DFA9C" w14:textId="77777777" w:rsidR="00C23B76" w:rsidRDefault="00D65794">
      <w:pPr>
        <w:pStyle w:val="ListParagraph"/>
        <w:numPr>
          <w:ilvl w:val="1"/>
          <w:numId w:val="3"/>
        </w:numPr>
        <w:tabs>
          <w:tab w:val="left" w:pos="820"/>
          <w:tab w:val="left" w:pos="821"/>
        </w:tabs>
        <w:ind w:hanging="361"/>
      </w:pPr>
      <w:r>
        <w:t>Prepare project closing documents and inform the GEF</w:t>
      </w:r>
      <w:r>
        <w:rPr>
          <w:spacing w:val="-8"/>
        </w:rPr>
        <w:t xml:space="preserve"> </w:t>
      </w:r>
      <w:r>
        <w:t>Secretariat.</w:t>
      </w:r>
    </w:p>
    <w:p w14:paraId="269DFA9D" w14:textId="77777777" w:rsidR="00C23B76" w:rsidRDefault="00D65794">
      <w:pPr>
        <w:pStyle w:val="ListParagraph"/>
        <w:numPr>
          <w:ilvl w:val="1"/>
          <w:numId w:val="3"/>
        </w:numPr>
        <w:tabs>
          <w:tab w:val="left" w:pos="820"/>
          <w:tab w:val="left" w:pos="821"/>
        </w:tabs>
        <w:spacing w:before="1"/>
        <w:ind w:hanging="361"/>
      </w:pPr>
      <w:r>
        <w:t>Prepare the financial closure of the project and inform to the GEF</w:t>
      </w:r>
      <w:r>
        <w:rPr>
          <w:spacing w:val="-14"/>
        </w:rPr>
        <w:t xml:space="preserve"> </w:t>
      </w:r>
      <w:r>
        <w:t>Secretariat.</w:t>
      </w:r>
    </w:p>
    <w:p w14:paraId="269DFA9E" w14:textId="77777777" w:rsidR="00C23B76" w:rsidRPr="003561EF" w:rsidRDefault="00C23B76">
      <w:pPr>
        <w:pStyle w:val="BodyText"/>
        <w:rPr>
          <w:sz w:val="16"/>
          <w:szCs w:val="16"/>
        </w:rPr>
      </w:pPr>
    </w:p>
    <w:p w14:paraId="269DFA9F" w14:textId="77777777" w:rsidR="00C23B76" w:rsidRDefault="00D65794">
      <w:pPr>
        <w:pStyle w:val="Heading1"/>
        <w:spacing w:line="268" w:lineRule="exact"/>
        <w:ind w:firstLine="0"/>
      </w:pPr>
      <w:r>
        <w:t>Corporate Activities (done at regional and HQ level)</w:t>
      </w:r>
    </w:p>
    <w:p w14:paraId="269DFAA0" w14:textId="77777777" w:rsidR="00C23B76" w:rsidRDefault="00D65794">
      <w:pPr>
        <w:pStyle w:val="ListParagraph"/>
        <w:numPr>
          <w:ilvl w:val="1"/>
          <w:numId w:val="3"/>
        </w:numPr>
        <w:tabs>
          <w:tab w:val="left" w:pos="820"/>
          <w:tab w:val="left" w:pos="821"/>
        </w:tabs>
        <w:ind w:right="505"/>
      </w:pPr>
      <w:r>
        <w:t>Policy support includes the development, revision and operationalization of GEF policies, strategies, business plans and guidelines. It also includes participation in the meetings of the GEF governing</w:t>
      </w:r>
      <w:r>
        <w:rPr>
          <w:spacing w:val="-2"/>
        </w:rPr>
        <w:t xml:space="preserve"> </w:t>
      </w:r>
      <w:r>
        <w:t>bodies.</w:t>
      </w:r>
    </w:p>
    <w:p w14:paraId="269DFAA1" w14:textId="77777777" w:rsidR="00C23B76" w:rsidRDefault="00D65794" w:rsidP="003561EF">
      <w:pPr>
        <w:pStyle w:val="ListParagraph"/>
        <w:numPr>
          <w:ilvl w:val="1"/>
          <w:numId w:val="3"/>
        </w:numPr>
        <w:tabs>
          <w:tab w:val="left" w:pos="820"/>
          <w:tab w:val="left" w:pos="821"/>
        </w:tabs>
        <w:ind w:right="127"/>
      </w:pPr>
      <w:r>
        <w:t>Portfolio management includes pipeline and program management, financial management and data management. It includes participation in financial consultations organized by the Trustee. It also comprises preparation of the Annual Monitoring Report (AMR), the Annual Portfolio Review for the Evaluation Office (APR) and the overall management of the portfolio regardless of the number of projects</w:t>
      </w:r>
      <w:r>
        <w:rPr>
          <w:spacing w:val="-3"/>
        </w:rPr>
        <w:t xml:space="preserve"> </w:t>
      </w:r>
      <w:r>
        <w:t>undertaken.</w:t>
      </w:r>
    </w:p>
    <w:p w14:paraId="42456A48" w14:textId="77777777" w:rsidR="003561EF" w:rsidRDefault="00D65794" w:rsidP="003561EF">
      <w:pPr>
        <w:pStyle w:val="ListParagraph"/>
        <w:numPr>
          <w:ilvl w:val="1"/>
          <w:numId w:val="3"/>
        </w:numPr>
        <w:tabs>
          <w:tab w:val="left" w:pos="820"/>
          <w:tab w:val="left" w:pos="821"/>
        </w:tabs>
        <w:spacing w:line="279" w:lineRule="exact"/>
        <w:ind w:right="239"/>
      </w:pPr>
      <w:r>
        <w:t>Reporting includes all the reporting requirements as per the</w:t>
      </w:r>
      <w:r w:rsidRPr="003561EF">
        <w:rPr>
          <w:spacing w:val="-4"/>
        </w:rPr>
        <w:t xml:space="preserve"> </w:t>
      </w:r>
      <w:r>
        <w:t>Guidelines.</w:t>
      </w:r>
    </w:p>
    <w:p w14:paraId="37D8C9CF" w14:textId="526D32DF" w:rsidR="003561EF" w:rsidRDefault="00D65794" w:rsidP="003561EF">
      <w:pPr>
        <w:pStyle w:val="ListParagraph"/>
        <w:numPr>
          <w:ilvl w:val="1"/>
          <w:numId w:val="3"/>
        </w:numPr>
        <w:tabs>
          <w:tab w:val="left" w:pos="820"/>
          <w:tab w:val="left" w:pos="821"/>
        </w:tabs>
        <w:spacing w:line="279" w:lineRule="exact"/>
        <w:ind w:right="239"/>
      </w:pPr>
      <w:r>
        <w:t>Outreach and knowledge sharing includes participation in sub-regional consultations, Country Support Program (CSP) activities and STAP</w:t>
      </w:r>
      <w:r w:rsidRPr="003561EF">
        <w:rPr>
          <w:spacing w:val="-6"/>
        </w:rPr>
        <w:t xml:space="preserve"> </w:t>
      </w:r>
      <w:r>
        <w:t>meetings.</w:t>
      </w:r>
    </w:p>
    <w:p w14:paraId="269DFAA5" w14:textId="68CA66DB" w:rsidR="00C23B76" w:rsidRDefault="00D65794" w:rsidP="003561EF">
      <w:pPr>
        <w:pStyle w:val="ListParagraph"/>
        <w:numPr>
          <w:ilvl w:val="1"/>
          <w:numId w:val="3"/>
        </w:numPr>
        <w:tabs>
          <w:tab w:val="left" w:pos="820"/>
          <w:tab w:val="left" w:pos="821"/>
        </w:tabs>
        <w:ind w:right="239"/>
      </w:pPr>
      <w:r>
        <w:t>Support to Independent Evaluation Office includes evaluations, reviews and studies initiated by the GEF Independent Evaluation</w:t>
      </w:r>
      <w:r w:rsidRPr="003561EF">
        <w:rPr>
          <w:spacing w:val="-3"/>
        </w:rPr>
        <w:t xml:space="preserve"> </w:t>
      </w:r>
      <w:r>
        <w:t>Office.</w:t>
      </w:r>
    </w:p>
    <w:p w14:paraId="269DFAA6" w14:textId="77777777" w:rsidR="00C23B76" w:rsidRDefault="00C23B76">
      <w:pPr>
        <w:sectPr w:rsidR="00C23B76">
          <w:pgSz w:w="12240" w:h="15840"/>
          <w:pgMar w:top="1340" w:right="1320" w:bottom="1540" w:left="1340" w:header="182" w:footer="1314" w:gutter="0"/>
          <w:cols w:space="720"/>
        </w:sectPr>
      </w:pPr>
    </w:p>
    <w:p w14:paraId="269DFAA7" w14:textId="77777777" w:rsidR="00C23B76" w:rsidRDefault="00D65794">
      <w:pPr>
        <w:pStyle w:val="Heading1"/>
        <w:spacing w:before="88"/>
        <w:ind w:firstLine="0"/>
      </w:pPr>
      <w:r>
        <w:lastRenderedPageBreak/>
        <w:t xml:space="preserve">Annex C: </w:t>
      </w:r>
      <w:hyperlink r:id="rId39">
        <w:r>
          <w:rPr>
            <w:color w:val="0000FF"/>
            <w:u w:val="single" w:color="0000FF"/>
          </w:rPr>
          <w:t>GEF OFP Letter of Support</w:t>
        </w:r>
        <w:r>
          <w:rPr>
            <w:color w:val="0000FF"/>
          </w:rPr>
          <w:t xml:space="preserve"> </w:t>
        </w:r>
      </w:hyperlink>
      <w:r>
        <w:t>when GEF Agency also executes</w:t>
      </w:r>
    </w:p>
    <w:p w14:paraId="269DFAA8" w14:textId="77777777" w:rsidR="00C23B76" w:rsidRDefault="00C23B76">
      <w:pPr>
        <w:pStyle w:val="BodyText"/>
        <w:rPr>
          <w:b/>
          <w:sz w:val="20"/>
        </w:rPr>
      </w:pPr>
    </w:p>
    <w:p w14:paraId="269DFAA9" w14:textId="77777777" w:rsidR="00C23B76" w:rsidRDefault="00C23B76">
      <w:pPr>
        <w:pStyle w:val="BodyText"/>
        <w:spacing w:before="4"/>
        <w:rPr>
          <w:b/>
          <w:sz w:val="27"/>
        </w:rPr>
      </w:pPr>
    </w:p>
    <w:p w14:paraId="269DFAAA" w14:textId="77777777" w:rsidR="00C23B76" w:rsidRDefault="00C23B76">
      <w:pPr>
        <w:rPr>
          <w:sz w:val="27"/>
        </w:rPr>
        <w:sectPr w:rsidR="00C23B76">
          <w:pgSz w:w="12240" w:h="15840"/>
          <w:pgMar w:top="1340" w:right="1320" w:bottom="1540" w:left="1340" w:header="182" w:footer="1314" w:gutter="0"/>
          <w:cols w:space="720"/>
        </w:sectPr>
      </w:pPr>
    </w:p>
    <w:p w14:paraId="269DFAAB" w14:textId="77777777" w:rsidR="00C23B76" w:rsidRDefault="00D65794">
      <w:pPr>
        <w:pStyle w:val="BodyText"/>
        <w:spacing w:before="56"/>
        <w:ind w:left="3631"/>
      </w:pPr>
      <w:r>
        <w:t>[Government Letterhead]</w:t>
      </w:r>
    </w:p>
    <w:p w14:paraId="269DFAAC" w14:textId="77777777" w:rsidR="00C23B76" w:rsidRDefault="00C23B76">
      <w:pPr>
        <w:pStyle w:val="BodyText"/>
      </w:pPr>
    </w:p>
    <w:p w14:paraId="269DFAAD" w14:textId="77777777" w:rsidR="00C23B76" w:rsidRDefault="00C23B76">
      <w:pPr>
        <w:pStyle w:val="BodyText"/>
        <w:spacing w:before="11"/>
        <w:rPr>
          <w:sz w:val="19"/>
        </w:rPr>
      </w:pPr>
    </w:p>
    <w:p w14:paraId="269DFAAE" w14:textId="77777777" w:rsidR="00C23B76" w:rsidRDefault="00D65794">
      <w:pPr>
        <w:pStyle w:val="BodyText"/>
        <w:tabs>
          <w:tab w:val="left" w:pos="820"/>
        </w:tabs>
        <w:spacing w:line="237" w:lineRule="auto"/>
        <w:ind w:left="820" w:right="2022" w:hanging="720"/>
      </w:pPr>
      <w:r>
        <w:t>To:</w:t>
      </w:r>
      <w:r>
        <w:tab/>
        <w:t>[Name of GEF Agency Coordinator] [GEF Agency</w:t>
      </w:r>
      <w:r>
        <w:rPr>
          <w:spacing w:val="-1"/>
        </w:rPr>
        <w:t xml:space="preserve"> </w:t>
      </w:r>
      <w:r>
        <w:t>Name]</w:t>
      </w:r>
    </w:p>
    <w:p w14:paraId="269DFAAF" w14:textId="77777777" w:rsidR="00C23B76" w:rsidRDefault="00D65794">
      <w:pPr>
        <w:pStyle w:val="BodyText"/>
        <w:spacing w:before="1"/>
        <w:ind w:left="820"/>
      </w:pPr>
      <w:r>
        <w:t>[GEF Agency Address]</w:t>
      </w:r>
    </w:p>
    <w:p w14:paraId="269DFAB0" w14:textId="77777777" w:rsidR="00C23B76" w:rsidRDefault="00D65794">
      <w:pPr>
        <w:pStyle w:val="BodyText"/>
      </w:pPr>
      <w:r>
        <w:br w:type="column"/>
      </w:r>
    </w:p>
    <w:p w14:paraId="269DFAB1" w14:textId="77777777" w:rsidR="00C23B76" w:rsidRDefault="00D65794">
      <w:pPr>
        <w:pStyle w:val="BodyText"/>
        <w:spacing w:before="177"/>
        <w:ind w:left="100"/>
      </w:pPr>
      <w:r>
        <w:t>[Date]</w:t>
      </w:r>
    </w:p>
    <w:p w14:paraId="269DFAB2" w14:textId="77777777" w:rsidR="00C23B76" w:rsidRDefault="00C23B76">
      <w:pPr>
        <w:sectPr w:rsidR="00C23B76">
          <w:type w:val="continuous"/>
          <w:pgSz w:w="12240" w:h="15840"/>
          <w:pgMar w:top="1340" w:right="1320" w:bottom="280" w:left="1340" w:header="720" w:footer="720" w:gutter="0"/>
          <w:cols w:num="2" w:space="720" w:equalWidth="0">
            <w:col w:w="5973" w:space="2829"/>
            <w:col w:w="778"/>
          </w:cols>
        </w:sectPr>
      </w:pPr>
    </w:p>
    <w:p w14:paraId="269DFAB4" w14:textId="77777777" w:rsidR="00C23B76" w:rsidRDefault="00C23B76">
      <w:pPr>
        <w:pStyle w:val="BodyText"/>
        <w:spacing w:before="6"/>
        <w:rPr>
          <w:sz w:val="19"/>
        </w:rPr>
      </w:pPr>
    </w:p>
    <w:p w14:paraId="269DFAB5" w14:textId="77777777" w:rsidR="00C23B76" w:rsidRDefault="00D65794">
      <w:pPr>
        <w:pStyle w:val="Heading1"/>
        <w:tabs>
          <w:tab w:val="left" w:pos="1091"/>
        </w:tabs>
        <w:spacing w:before="56"/>
        <w:ind w:left="1091" w:right="180" w:hanging="992"/>
      </w:pPr>
      <w:r>
        <w:t>Subject:</w:t>
      </w:r>
      <w:r>
        <w:tab/>
        <w:t>Letter of Support to request GEF Agency Execution for [Title of Project/Program Proposal] [GEF</w:t>
      </w:r>
      <w:r>
        <w:rPr>
          <w:spacing w:val="-2"/>
        </w:rPr>
        <w:t xml:space="preserve"> </w:t>
      </w:r>
      <w:r>
        <w:t>ID#]</w:t>
      </w:r>
    </w:p>
    <w:p w14:paraId="269DFAB6" w14:textId="77777777" w:rsidR="00C23B76" w:rsidRDefault="00C23B76">
      <w:pPr>
        <w:pStyle w:val="BodyText"/>
        <w:spacing w:before="1"/>
        <w:rPr>
          <w:b/>
        </w:rPr>
      </w:pPr>
    </w:p>
    <w:p w14:paraId="269DFAB7" w14:textId="77777777" w:rsidR="00C23B76" w:rsidRDefault="00D65794">
      <w:pPr>
        <w:pStyle w:val="ListParagraph"/>
        <w:numPr>
          <w:ilvl w:val="0"/>
          <w:numId w:val="2"/>
        </w:numPr>
        <w:tabs>
          <w:tab w:val="left" w:pos="820"/>
          <w:tab w:val="left" w:pos="821"/>
        </w:tabs>
        <w:ind w:right="113" w:firstLine="0"/>
        <w:jc w:val="both"/>
      </w:pPr>
      <w:r>
        <w:t>In my capacity as GEF Operational Focal Point for [Country], I hereby request [name of GEF Agency], the GEF implementing agency for the aforementioned project, to also carry out execution services for the above project/program, on an exceptional</w:t>
      </w:r>
      <w:r>
        <w:rPr>
          <w:spacing w:val="-5"/>
        </w:rPr>
        <w:t xml:space="preserve"> </w:t>
      </w:r>
      <w:r>
        <w:t>basis.</w:t>
      </w:r>
    </w:p>
    <w:p w14:paraId="269DFAB8" w14:textId="77777777" w:rsidR="00C23B76" w:rsidRDefault="00C23B76">
      <w:pPr>
        <w:pStyle w:val="BodyText"/>
        <w:spacing w:before="11"/>
        <w:rPr>
          <w:sz w:val="21"/>
        </w:rPr>
      </w:pPr>
    </w:p>
    <w:p w14:paraId="269DFAB9" w14:textId="77777777" w:rsidR="00C23B76" w:rsidRDefault="00D65794">
      <w:pPr>
        <w:pStyle w:val="ListParagraph"/>
        <w:numPr>
          <w:ilvl w:val="0"/>
          <w:numId w:val="2"/>
        </w:numPr>
        <w:tabs>
          <w:tab w:val="left" w:pos="820"/>
          <w:tab w:val="left" w:pos="821"/>
        </w:tabs>
        <w:ind w:left="820" w:hanging="721"/>
        <w:jc w:val="both"/>
      </w:pPr>
      <w:r>
        <w:t>The execution services provided by [name of GEF Agency] are expected to</w:t>
      </w:r>
      <w:r>
        <w:rPr>
          <w:spacing w:val="-16"/>
        </w:rPr>
        <w:t xml:space="preserve"> </w:t>
      </w:r>
      <w:r>
        <w:t>include:</w:t>
      </w:r>
      <w:r>
        <w:rPr>
          <w:vertAlign w:val="superscript"/>
        </w:rPr>
        <w:t>2</w:t>
      </w:r>
    </w:p>
    <w:p w14:paraId="269DFABA" w14:textId="77777777" w:rsidR="00C23B76" w:rsidRDefault="00C23B76">
      <w:pPr>
        <w:pStyle w:val="BodyText"/>
        <w:spacing w:before="1"/>
      </w:pPr>
    </w:p>
    <w:p w14:paraId="269DFABB" w14:textId="77777777" w:rsidR="00C23B76" w:rsidRDefault="00D65794">
      <w:pPr>
        <w:pStyle w:val="ListParagraph"/>
        <w:numPr>
          <w:ilvl w:val="1"/>
          <w:numId w:val="2"/>
        </w:numPr>
        <w:tabs>
          <w:tab w:val="left" w:pos="820"/>
          <w:tab w:val="left" w:pos="821"/>
        </w:tabs>
        <w:ind w:hanging="361"/>
      </w:pPr>
      <w:r>
        <w:t>[Function</w:t>
      </w:r>
      <w:r>
        <w:rPr>
          <w:spacing w:val="-1"/>
        </w:rPr>
        <w:t xml:space="preserve"> </w:t>
      </w:r>
      <w:r>
        <w:t>1</w:t>
      </w:r>
    </w:p>
    <w:p w14:paraId="269DFABC" w14:textId="77777777" w:rsidR="00C23B76" w:rsidRDefault="00D65794">
      <w:pPr>
        <w:pStyle w:val="ListParagraph"/>
        <w:numPr>
          <w:ilvl w:val="1"/>
          <w:numId w:val="2"/>
        </w:numPr>
        <w:tabs>
          <w:tab w:val="left" w:pos="820"/>
          <w:tab w:val="left" w:pos="821"/>
        </w:tabs>
        <w:spacing w:before="1"/>
        <w:ind w:hanging="361"/>
      </w:pPr>
      <w:r>
        <w:t>Function</w:t>
      </w:r>
      <w:r>
        <w:rPr>
          <w:spacing w:val="-1"/>
        </w:rPr>
        <w:t xml:space="preserve"> </w:t>
      </w:r>
      <w:r>
        <w:t>2</w:t>
      </w:r>
    </w:p>
    <w:p w14:paraId="269DFABD" w14:textId="77777777" w:rsidR="00C23B76" w:rsidRDefault="00D65794">
      <w:pPr>
        <w:pStyle w:val="ListParagraph"/>
        <w:numPr>
          <w:ilvl w:val="1"/>
          <w:numId w:val="2"/>
        </w:numPr>
        <w:tabs>
          <w:tab w:val="left" w:pos="820"/>
          <w:tab w:val="left" w:pos="821"/>
        </w:tabs>
        <w:spacing w:line="279" w:lineRule="exact"/>
        <w:ind w:hanging="361"/>
      </w:pPr>
      <w:r>
        <w:t>Function</w:t>
      </w:r>
      <w:r>
        <w:rPr>
          <w:spacing w:val="-1"/>
        </w:rPr>
        <w:t xml:space="preserve"> </w:t>
      </w:r>
      <w:r>
        <w:t>3</w:t>
      </w:r>
    </w:p>
    <w:p w14:paraId="269DFABE" w14:textId="77777777" w:rsidR="00C23B76" w:rsidRDefault="00D65794">
      <w:pPr>
        <w:pStyle w:val="ListParagraph"/>
        <w:numPr>
          <w:ilvl w:val="1"/>
          <w:numId w:val="2"/>
        </w:numPr>
        <w:tabs>
          <w:tab w:val="left" w:pos="820"/>
          <w:tab w:val="left" w:pos="821"/>
        </w:tabs>
        <w:spacing w:line="279" w:lineRule="exact"/>
        <w:ind w:hanging="361"/>
      </w:pPr>
      <w:r>
        <w:t>Etc..</w:t>
      </w:r>
      <w:r>
        <w:rPr>
          <w:spacing w:val="-1"/>
        </w:rPr>
        <w:t xml:space="preserve"> </w:t>
      </w:r>
      <w:r>
        <w:t>]</w:t>
      </w:r>
    </w:p>
    <w:p w14:paraId="269DFABF" w14:textId="77777777" w:rsidR="00C23B76" w:rsidRDefault="00C23B76">
      <w:pPr>
        <w:pStyle w:val="BodyText"/>
        <w:spacing w:before="1"/>
      </w:pPr>
    </w:p>
    <w:p w14:paraId="269DFAC0" w14:textId="77777777" w:rsidR="00C23B76" w:rsidRDefault="00D65794">
      <w:pPr>
        <w:pStyle w:val="ListParagraph"/>
        <w:numPr>
          <w:ilvl w:val="0"/>
          <w:numId w:val="2"/>
        </w:numPr>
        <w:tabs>
          <w:tab w:val="left" w:pos="820"/>
          <w:tab w:val="left" w:pos="821"/>
        </w:tabs>
        <w:ind w:right="119" w:firstLine="0"/>
        <w:jc w:val="both"/>
      </w:pPr>
      <w:r>
        <w:t>The execution services to be provided by [Country, ministry or other entity] are expected to include:</w:t>
      </w:r>
      <w:r>
        <w:rPr>
          <w:vertAlign w:val="superscript"/>
        </w:rPr>
        <w:t>3</w:t>
      </w:r>
    </w:p>
    <w:p w14:paraId="269DFAC1" w14:textId="77777777" w:rsidR="00C23B76" w:rsidRDefault="00C23B76">
      <w:pPr>
        <w:pStyle w:val="BodyText"/>
        <w:spacing w:before="1"/>
      </w:pPr>
    </w:p>
    <w:p w14:paraId="269DFAC2" w14:textId="77777777" w:rsidR="00C23B76" w:rsidRDefault="00D65794">
      <w:pPr>
        <w:pStyle w:val="ListParagraph"/>
        <w:numPr>
          <w:ilvl w:val="1"/>
          <w:numId w:val="2"/>
        </w:numPr>
        <w:tabs>
          <w:tab w:val="left" w:pos="820"/>
          <w:tab w:val="left" w:pos="821"/>
        </w:tabs>
        <w:spacing w:line="279" w:lineRule="exact"/>
        <w:ind w:hanging="361"/>
      </w:pPr>
      <w:r>
        <w:t>[Function</w:t>
      </w:r>
      <w:r>
        <w:rPr>
          <w:spacing w:val="-1"/>
        </w:rPr>
        <w:t xml:space="preserve"> </w:t>
      </w:r>
      <w:r>
        <w:t>1</w:t>
      </w:r>
    </w:p>
    <w:p w14:paraId="269DFAC3" w14:textId="77777777" w:rsidR="00C23B76" w:rsidRDefault="00D65794">
      <w:pPr>
        <w:pStyle w:val="ListParagraph"/>
        <w:numPr>
          <w:ilvl w:val="1"/>
          <w:numId w:val="2"/>
        </w:numPr>
        <w:tabs>
          <w:tab w:val="left" w:pos="820"/>
          <w:tab w:val="left" w:pos="821"/>
        </w:tabs>
        <w:spacing w:line="279" w:lineRule="exact"/>
        <w:ind w:hanging="361"/>
      </w:pPr>
      <w:r>
        <w:t>Function</w:t>
      </w:r>
      <w:r>
        <w:rPr>
          <w:spacing w:val="-1"/>
        </w:rPr>
        <w:t xml:space="preserve"> </w:t>
      </w:r>
      <w:r>
        <w:t>2</w:t>
      </w:r>
    </w:p>
    <w:p w14:paraId="269DFAC4" w14:textId="77777777" w:rsidR="00C23B76" w:rsidRDefault="00D65794">
      <w:pPr>
        <w:pStyle w:val="ListParagraph"/>
        <w:numPr>
          <w:ilvl w:val="1"/>
          <w:numId w:val="2"/>
        </w:numPr>
        <w:tabs>
          <w:tab w:val="left" w:pos="820"/>
          <w:tab w:val="left" w:pos="821"/>
        </w:tabs>
        <w:spacing w:before="1"/>
        <w:ind w:hanging="361"/>
      </w:pPr>
      <w:r>
        <w:t>Function</w:t>
      </w:r>
      <w:r>
        <w:rPr>
          <w:spacing w:val="-1"/>
        </w:rPr>
        <w:t xml:space="preserve"> </w:t>
      </w:r>
      <w:r>
        <w:t>3</w:t>
      </w:r>
    </w:p>
    <w:p w14:paraId="269DFAC5" w14:textId="77777777" w:rsidR="00C23B76" w:rsidRDefault="00D65794">
      <w:pPr>
        <w:pStyle w:val="ListParagraph"/>
        <w:numPr>
          <w:ilvl w:val="1"/>
          <w:numId w:val="2"/>
        </w:numPr>
        <w:tabs>
          <w:tab w:val="left" w:pos="820"/>
          <w:tab w:val="left" w:pos="821"/>
        </w:tabs>
        <w:ind w:hanging="361"/>
      </w:pPr>
      <w:r>
        <w:t>Etc..</w:t>
      </w:r>
      <w:r>
        <w:rPr>
          <w:spacing w:val="-1"/>
        </w:rPr>
        <w:t xml:space="preserve"> </w:t>
      </w:r>
      <w:r>
        <w:t>]</w:t>
      </w:r>
    </w:p>
    <w:p w14:paraId="269DFAC6" w14:textId="77777777" w:rsidR="00C23B76" w:rsidRDefault="00C23B76">
      <w:pPr>
        <w:pStyle w:val="BodyText"/>
      </w:pPr>
    </w:p>
    <w:p w14:paraId="269DFAC7" w14:textId="77777777" w:rsidR="00C23B76" w:rsidRDefault="00D65794">
      <w:pPr>
        <w:pStyle w:val="ListParagraph"/>
        <w:numPr>
          <w:ilvl w:val="0"/>
          <w:numId w:val="2"/>
        </w:numPr>
        <w:tabs>
          <w:tab w:val="left" w:pos="820"/>
          <w:tab w:val="left" w:pos="821"/>
        </w:tabs>
        <w:spacing w:before="1"/>
        <w:ind w:right="109" w:firstLine="0"/>
        <w:jc w:val="both"/>
      </w:pPr>
      <w:r>
        <w:t>Execution</w:t>
      </w:r>
      <w:r>
        <w:rPr>
          <w:spacing w:val="-9"/>
        </w:rPr>
        <w:t xml:space="preserve"> </w:t>
      </w:r>
      <w:r>
        <w:t>activities,</w:t>
      </w:r>
      <w:r>
        <w:rPr>
          <w:spacing w:val="-6"/>
        </w:rPr>
        <w:t xml:space="preserve"> </w:t>
      </w:r>
      <w:r>
        <w:t>including</w:t>
      </w:r>
      <w:r>
        <w:rPr>
          <w:spacing w:val="-6"/>
        </w:rPr>
        <w:t xml:space="preserve"> </w:t>
      </w:r>
      <w:r>
        <w:t>those</w:t>
      </w:r>
      <w:r>
        <w:rPr>
          <w:spacing w:val="-7"/>
        </w:rPr>
        <w:t xml:space="preserve"> </w:t>
      </w:r>
      <w:r>
        <w:t>provided</w:t>
      </w:r>
      <w:r>
        <w:rPr>
          <w:spacing w:val="-6"/>
        </w:rPr>
        <w:t xml:space="preserve"> </w:t>
      </w:r>
      <w:r>
        <w:t>by</w:t>
      </w:r>
      <w:r>
        <w:rPr>
          <w:spacing w:val="-7"/>
        </w:rPr>
        <w:t xml:space="preserve"> </w:t>
      </w:r>
      <w:r>
        <w:t>[Name</w:t>
      </w:r>
      <w:r>
        <w:rPr>
          <w:spacing w:val="-7"/>
        </w:rPr>
        <w:t xml:space="preserve"> </w:t>
      </w:r>
      <w:r>
        <w:t>of</w:t>
      </w:r>
      <w:r>
        <w:rPr>
          <w:spacing w:val="-8"/>
        </w:rPr>
        <w:t xml:space="preserve"> </w:t>
      </w:r>
      <w:r>
        <w:t>GEF</w:t>
      </w:r>
      <w:r>
        <w:rPr>
          <w:spacing w:val="-8"/>
        </w:rPr>
        <w:t xml:space="preserve"> </w:t>
      </w:r>
      <w:r>
        <w:t>Agency],</w:t>
      </w:r>
      <w:r>
        <w:rPr>
          <w:spacing w:val="-11"/>
        </w:rPr>
        <w:t xml:space="preserve"> </w:t>
      </w:r>
      <w:r>
        <w:t>will</w:t>
      </w:r>
      <w:r>
        <w:rPr>
          <w:spacing w:val="-6"/>
        </w:rPr>
        <w:t xml:space="preserve"> </w:t>
      </w:r>
      <w:r>
        <w:t>be</w:t>
      </w:r>
      <w:r>
        <w:rPr>
          <w:spacing w:val="-7"/>
        </w:rPr>
        <w:t xml:space="preserve"> </w:t>
      </w:r>
      <w:r>
        <w:t>described</w:t>
      </w:r>
      <w:r>
        <w:rPr>
          <w:spacing w:val="-6"/>
        </w:rPr>
        <w:t xml:space="preserve"> </w:t>
      </w:r>
      <w:r>
        <w:t>in</w:t>
      </w:r>
      <w:r>
        <w:rPr>
          <w:spacing w:val="-9"/>
        </w:rPr>
        <w:t xml:space="preserve"> </w:t>
      </w:r>
      <w:r>
        <w:t>detail in</w:t>
      </w:r>
      <w:r>
        <w:rPr>
          <w:spacing w:val="-11"/>
        </w:rPr>
        <w:t xml:space="preserve"> </w:t>
      </w:r>
      <w:r>
        <w:t>the</w:t>
      </w:r>
      <w:r>
        <w:rPr>
          <w:spacing w:val="-11"/>
        </w:rPr>
        <w:t xml:space="preserve"> </w:t>
      </w:r>
      <w:r>
        <w:t>GEF</w:t>
      </w:r>
      <w:r>
        <w:rPr>
          <w:spacing w:val="-12"/>
        </w:rPr>
        <w:t xml:space="preserve"> </w:t>
      </w:r>
      <w:r>
        <w:t>CEO</w:t>
      </w:r>
      <w:r>
        <w:rPr>
          <w:spacing w:val="-11"/>
        </w:rPr>
        <w:t xml:space="preserve"> </w:t>
      </w:r>
      <w:r>
        <w:t>Endorsement/Approval</w:t>
      </w:r>
      <w:r>
        <w:rPr>
          <w:spacing w:val="-10"/>
        </w:rPr>
        <w:t xml:space="preserve"> </w:t>
      </w:r>
      <w:r>
        <w:t>request</w:t>
      </w:r>
      <w:r>
        <w:rPr>
          <w:spacing w:val="-10"/>
        </w:rPr>
        <w:t xml:space="preserve"> </w:t>
      </w:r>
      <w:r>
        <w:t>and</w:t>
      </w:r>
      <w:r>
        <w:rPr>
          <w:spacing w:val="-12"/>
        </w:rPr>
        <w:t xml:space="preserve"> </w:t>
      </w:r>
      <w:r>
        <w:t>accompanying</w:t>
      </w:r>
      <w:r>
        <w:rPr>
          <w:spacing w:val="-10"/>
        </w:rPr>
        <w:t xml:space="preserve"> </w:t>
      </w:r>
      <w:r>
        <w:t>project/program</w:t>
      </w:r>
      <w:r>
        <w:rPr>
          <w:spacing w:val="-8"/>
        </w:rPr>
        <w:t xml:space="preserve"> </w:t>
      </w:r>
      <w:r>
        <w:t>documents,</w:t>
      </w:r>
      <w:r>
        <w:rPr>
          <w:spacing w:val="-9"/>
        </w:rPr>
        <w:t xml:space="preserve"> </w:t>
      </w:r>
      <w:r>
        <w:t>including the project/program budget.</w:t>
      </w:r>
    </w:p>
    <w:p w14:paraId="269DFAC8" w14:textId="77777777" w:rsidR="00C23B76" w:rsidRDefault="00C23B76">
      <w:pPr>
        <w:pStyle w:val="BodyText"/>
      </w:pPr>
    </w:p>
    <w:p w14:paraId="269DFAC9" w14:textId="77777777" w:rsidR="00C23B76" w:rsidRDefault="00C23B76">
      <w:pPr>
        <w:pStyle w:val="BodyText"/>
        <w:spacing w:before="11"/>
        <w:rPr>
          <w:sz w:val="21"/>
        </w:rPr>
      </w:pPr>
    </w:p>
    <w:p w14:paraId="269DFACA" w14:textId="77777777" w:rsidR="00C23B76" w:rsidRDefault="00D65794">
      <w:pPr>
        <w:pStyle w:val="BodyText"/>
        <w:ind w:left="5861"/>
      </w:pPr>
      <w:r>
        <w:t>Sincerely,</w:t>
      </w:r>
    </w:p>
    <w:p w14:paraId="269DFACB" w14:textId="77777777" w:rsidR="00C23B76" w:rsidRDefault="00C23B76">
      <w:pPr>
        <w:pStyle w:val="BodyText"/>
        <w:spacing w:before="1"/>
      </w:pPr>
    </w:p>
    <w:p w14:paraId="269DFACC" w14:textId="77777777" w:rsidR="00C23B76" w:rsidRDefault="00D65794">
      <w:pPr>
        <w:pStyle w:val="BodyText"/>
        <w:ind w:left="5861" w:right="649"/>
      </w:pPr>
      <w:r>
        <w:t>[Name of Operational Focal Point] [Position/Title in Government]</w:t>
      </w:r>
    </w:p>
    <w:p w14:paraId="269DFACD" w14:textId="77777777" w:rsidR="00C23B76" w:rsidRDefault="00C23B76">
      <w:pPr>
        <w:pStyle w:val="BodyText"/>
        <w:rPr>
          <w:sz w:val="20"/>
        </w:rPr>
      </w:pPr>
    </w:p>
    <w:p w14:paraId="269DFACE" w14:textId="1E08FA23" w:rsidR="00C23B76" w:rsidRDefault="00AF49B0">
      <w:pPr>
        <w:pStyle w:val="BodyText"/>
        <w:spacing w:before="1"/>
        <w:rPr>
          <w:sz w:val="12"/>
        </w:rPr>
      </w:pPr>
      <w:r>
        <w:rPr>
          <w:noProof/>
        </w:rPr>
        <mc:AlternateContent>
          <mc:Choice Requires="wps">
            <w:drawing>
              <wp:anchor distT="0" distB="0" distL="0" distR="0" simplePos="0" relativeHeight="251663360" behindDoc="1" locked="0" layoutInCell="1" allowOverlap="1" wp14:anchorId="269DFB78" wp14:editId="538E881F">
                <wp:simplePos x="0" y="0"/>
                <wp:positionH relativeFrom="page">
                  <wp:posOffset>914400</wp:posOffset>
                </wp:positionH>
                <wp:positionV relativeFrom="paragraph">
                  <wp:posOffset>122555</wp:posOffset>
                </wp:positionV>
                <wp:extent cx="1829435" cy="1270"/>
                <wp:effectExtent l="0" t="0" r="0" b="0"/>
                <wp:wrapTopAndBottom/>
                <wp:docPr id="1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F4CB64" id="Freeform 3" o:spid="_x0000_s1026" style="position:absolute;margin-left:1in;margin-top:9.65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" path="m,l2881,e" filled="f" strokeweight=".6pt">
                <v:path arrowok="t" o:connecttype="custom" o:connectlocs="0,0;1829435,0" o:connectangles="0,0"/>
                <w10:wrap type="topAndBottom" anchorx="page"/>
              </v:shape>
            </w:pict>
          </mc:Fallback>
        </mc:AlternateContent>
      </w:r>
    </w:p>
    <w:p w14:paraId="269DFACF" w14:textId="77777777" w:rsidR="00C23B76" w:rsidRDefault="00D65794">
      <w:pPr>
        <w:pStyle w:val="ListParagraph"/>
        <w:numPr>
          <w:ilvl w:val="0"/>
          <w:numId w:val="1"/>
        </w:numPr>
        <w:tabs>
          <w:tab w:val="left" w:pos="235"/>
        </w:tabs>
        <w:spacing w:before="74" w:line="244" w:lineRule="auto"/>
        <w:ind w:right="112" w:firstLine="0"/>
        <w:rPr>
          <w:rFonts w:ascii="Arial"/>
          <w:sz w:val="14"/>
        </w:rPr>
      </w:pPr>
      <w:r>
        <w:rPr>
          <w:sz w:val="18"/>
        </w:rPr>
        <w:t>Include</w:t>
      </w:r>
      <w:r>
        <w:rPr>
          <w:spacing w:val="-6"/>
          <w:sz w:val="18"/>
        </w:rPr>
        <w:t xml:space="preserve"> </w:t>
      </w:r>
      <w:r>
        <w:rPr>
          <w:sz w:val="18"/>
        </w:rPr>
        <w:t>a</w:t>
      </w:r>
      <w:r>
        <w:rPr>
          <w:spacing w:val="-5"/>
          <w:sz w:val="18"/>
        </w:rPr>
        <w:t xml:space="preserve"> </w:t>
      </w:r>
      <w:r>
        <w:rPr>
          <w:sz w:val="18"/>
        </w:rPr>
        <w:t>brief</w:t>
      </w:r>
      <w:r>
        <w:rPr>
          <w:spacing w:val="-5"/>
          <w:sz w:val="18"/>
        </w:rPr>
        <w:t xml:space="preserve"> </w:t>
      </w:r>
      <w:r>
        <w:rPr>
          <w:sz w:val="18"/>
        </w:rPr>
        <w:t>summary</w:t>
      </w:r>
      <w:r>
        <w:rPr>
          <w:spacing w:val="-5"/>
          <w:sz w:val="18"/>
        </w:rPr>
        <w:t xml:space="preserve"> </w:t>
      </w:r>
      <w:r>
        <w:rPr>
          <w:sz w:val="18"/>
        </w:rPr>
        <w:t>of</w:t>
      </w:r>
      <w:r>
        <w:rPr>
          <w:spacing w:val="-5"/>
          <w:sz w:val="18"/>
        </w:rPr>
        <w:t xml:space="preserve"> </w:t>
      </w:r>
      <w:r>
        <w:rPr>
          <w:sz w:val="18"/>
        </w:rPr>
        <w:t>the</w:t>
      </w:r>
      <w:r>
        <w:rPr>
          <w:spacing w:val="-6"/>
          <w:sz w:val="18"/>
        </w:rPr>
        <w:t xml:space="preserve"> </w:t>
      </w:r>
      <w:r>
        <w:rPr>
          <w:sz w:val="18"/>
        </w:rPr>
        <w:t>execution</w:t>
      </w:r>
      <w:r>
        <w:rPr>
          <w:spacing w:val="-6"/>
          <w:sz w:val="18"/>
        </w:rPr>
        <w:t xml:space="preserve"> </w:t>
      </w:r>
      <w:r>
        <w:rPr>
          <w:sz w:val="18"/>
        </w:rPr>
        <w:t>services</w:t>
      </w:r>
      <w:r>
        <w:rPr>
          <w:spacing w:val="-6"/>
          <w:sz w:val="18"/>
        </w:rPr>
        <w:t xml:space="preserve"> </w:t>
      </w:r>
      <w:r>
        <w:rPr>
          <w:sz w:val="18"/>
        </w:rPr>
        <w:t>to</w:t>
      </w:r>
      <w:r>
        <w:rPr>
          <w:spacing w:val="-4"/>
          <w:sz w:val="18"/>
        </w:rPr>
        <w:t xml:space="preserve"> </w:t>
      </w:r>
      <w:r>
        <w:rPr>
          <w:sz w:val="18"/>
        </w:rPr>
        <w:t>be</w:t>
      </w:r>
      <w:r>
        <w:rPr>
          <w:spacing w:val="-6"/>
          <w:sz w:val="18"/>
        </w:rPr>
        <w:t xml:space="preserve"> </w:t>
      </w:r>
      <w:r>
        <w:rPr>
          <w:sz w:val="18"/>
        </w:rPr>
        <w:t>provided</w:t>
      </w:r>
      <w:r>
        <w:rPr>
          <w:spacing w:val="-3"/>
          <w:sz w:val="18"/>
        </w:rPr>
        <w:t xml:space="preserve"> </w:t>
      </w:r>
      <w:r>
        <w:rPr>
          <w:sz w:val="18"/>
        </w:rPr>
        <w:t>by</w:t>
      </w:r>
      <w:r>
        <w:rPr>
          <w:spacing w:val="-5"/>
          <w:sz w:val="18"/>
        </w:rPr>
        <w:t xml:space="preserve"> </w:t>
      </w:r>
      <w:r>
        <w:rPr>
          <w:sz w:val="18"/>
        </w:rPr>
        <w:t>the</w:t>
      </w:r>
      <w:r>
        <w:rPr>
          <w:spacing w:val="-6"/>
          <w:sz w:val="18"/>
        </w:rPr>
        <w:t xml:space="preserve"> </w:t>
      </w:r>
      <w:r>
        <w:rPr>
          <w:sz w:val="18"/>
        </w:rPr>
        <w:t>GEF</w:t>
      </w:r>
      <w:r>
        <w:rPr>
          <w:spacing w:val="-6"/>
          <w:sz w:val="18"/>
        </w:rPr>
        <w:t xml:space="preserve"> </w:t>
      </w:r>
      <w:r>
        <w:rPr>
          <w:sz w:val="18"/>
        </w:rPr>
        <w:t>Agency.</w:t>
      </w:r>
      <w:r>
        <w:rPr>
          <w:spacing w:val="32"/>
          <w:sz w:val="18"/>
        </w:rPr>
        <w:t xml:space="preserve"> </w:t>
      </w:r>
      <w:r>
        <w:rPr>
          <w:sz w:val="18"/>
        </w:rPr>
        <w:t>Please</w:t>
      </w:r>
      <w:r>
        <w:rPr>
          <w:spacing w:val="-6"/>
          <w:sz w:val="18"/>
        </w:rPr>
        <w:t xml:space="preserve"> </w:t>
      </w:r>
      <w:r>
        <w:rPr>
          <w:sz w:val="18"/>
        </w:rPr>
        <w:t>refer</w:t>
      </w:r>
      <w:r>
        <w:rPr>
          <w:spacing w:val="-6"/>
          <w:sz w:val="18"/>
        </w:rPr>
        <w:t xml:space="preserve"> </w:t>
      </w:r>
      <w:r>
        <w:rPr>
          <w:sz w:val="18"/>
        </w:rPr>
        <w:t>to</w:t>
      </w:r>
      <w:r>
        <w:rPr>
          <w:spacing w:val="-4"/>
          <w:sz w:val="18"/>
        </w:rPr>
        <w:t xml:space="preserve"> </w:t>
      </w:r>
      <w:r>
        <w:rPr>
          <w:sz w:val="18"/>
        </w:rPr>
        <w:t>Project</w:t>
      </w:r>
      <w:r>
        <w:rPr>
          <w:spacing w:val="-5"/>
          <w:sz w:val="18"/>
        </w:rPr>
        <w:t xml:space="preserve"> </w:t>
      </w:r>
      <w:r>
        <w:rPr>
          <w:sz w:val="18"/>
        </w:rPr>
        <w:t>and</w:t>
      </w:r>
      <w:r>
        <w:rPr>
          <w:spacing w:val="-5"/>
          <w:sz w:val="18"/>
        </w:rPr>
        <w:t xml:space="preserve"> </w:t>
      </w:r>
      <w:r>
        <w:rPr>
          <w:sz w:val="18"/>
        </w:rPr>
        <w:t>Program</w:t>
      </w:r>
      <w:r>
        <w:rPr>
          <w:spacing w:val="-5"/>
          <w:sz w:val="18"/>
        </w:rPr>
        <w:t xml:space="preserve"> </w:t>
      </w:r>
      <w:r>
        <w:rPr>
          <w:sz w:val="18"/>
        </w:rPr>
        <w:t>Cycle Guidelines Annex 8 (Table B) for eligible execution</w:t>
      </w:r>
      <w:r>
        <w:rPr>
          <w:spacing w:val="-6"/>
          <w:sz w:val="18"/>
        </w:rPr>
        <w:t xml:space="preserve"> </w:t>
      </w:r>
      <w:r>
        <w:rPr>
          <w:sz w:val="18"/>
        </w:rPr>
        <w:t>functions.</w:t>
      </w:r>
    </w:p>
    <w:p w14:paraId="269DFAD0" w14:textId="77777777" w:rsidR="00C23B76" w:rsidRDefault="00D65794">
      <w:pPr>
        <w:pStyle w:val="ListParagraph"/>
        <w:numPr>
          <w:ilvl w:val="0"/>
          <w:numId w:val="1"/>
        </w:numPr>
        <w:tabs>
          <w:tab w:val="left" w:pos="211"/>
        </w:tabs>
        <w:spacing w:before="47"/>
        <w:ind w:left="210" w:hanging="111"/>
        <w:rPr>
          <w:sz w:val="14"/>
        </w:rPr>
      </w:pPr>
      <w:r>
        <w:rPr>
          <w:sz w:val="18"/>
        </w:rPr>
        <w:t>This para to be included as appropriate. Delete if all execution services are to be provided by GEF</w:t>
      </w:r>
      <w:r>
        <w:rPr>
          <w:spacing w:val="-18"/>
          <w:sz w:val="18"/>
        </w:rPr>
        <w:t xml:space="preserve"> </w:t>
      </w:r>
      <w:r>
        <w:rPr>
          <w:sz w:val="18"/>
        </w:rPr>
        <w:t>Agency.</w:t>
      </w:r>
    </w:p>
    <w:p w14:paraId="269DFAD1" w14:textId="77777777" w:rsidR="00C23B76" w:rsidRDefault="00C23B76">
      <w:pPr>
        <w:rPr>
          <w:sz w:val="14"/>
        </w:rPr>
        <w:sectPr w:rsidR="00C23B76">
          <w:type w:val="continuous"/>
          <w:pgSz w:w="12240" w:h="15840"/>
          <w:pgMar w:top="1340" w:right="1320" w:bottom="280" w:left="1340" w:header="720" w:footer="720" w:gutter="0"/>
          <w:cols w:space="720"/>
        </w:sectPr>
      </w:pPr>
    </w:p>
    <w:p w14:paraId="269DFAD4" w14:textId="4E174C67" w:rsidR="00C23B76" w:rsidRDefault="00D65794">
      <w:pPr>
        <w:pStyle w:val="Heading1"/>
        <w:spacing w:before="56"/>
        <w:ind w:firstLine="0"/>
      </w:pPr>
      <w:r>
        <w:lastRenderedPageBreak/>
        <w:t xml:space="preserve">Annex </w:t>
      </w:r>
      <w:r w:rsidRPr="00FA76E7">
        <w:t xml:space="preserve">D: </w:t>
      </w:r>
      <w:hyperlink r:id="rId40" w:history="1">
        <w:r w:rsidRPr="00FA76E7">
          <w:rPr>
            <w:rStyle w:val="Hyperlink"/>
          </w:rPr>
          <w:t>UNDP Letter of Agreement</w:t>
        </w:r>
      </w:hyperlink>
      <w:r w:rsidRPr="00FA76E7">
        <w:t xml:space="preserve"> </w:t>
      </w:r>
      <w:r>
        <w:t>when UNDP provides execution Support</w:t>
      </w:r>
    </w:p>
    <w:p w14:paraId="269DFAD5" w14:textId="77777777" w:rsidR="00C23B76" w:rsidRDefault="00C23B76">
      <w:pPr>
        <w:sectPr w:rsidR="00C23B76">
          <w:pgSz w:w="12240" w:h="15840"/>
          <w:pgMar w:top="1340" w:right="1320" w:bottom="1540" w:left="1340" w:header="182" w:footer="1314" w:gutter="0"/>
          <w:cols w:space="720"/>
        </w:sectPr>
      </w:pPr>
    </w:p>
    <w:p w14:paraId="269DFAD7" w14:textId="77777777" w:rsidR="00C23B76" w:rsidRDefault="00D65794">
      <w:pPr>
        <w:spacing w:before="56"/>
        <w:ind w:left="280"/>
        <w:rPr>
          <w:b/>
        </w:rPr>
      </w:pPr>
      <w:r>
        <w:rPr>
          <w:b/>
        </w:rPr>
        <w:lastRenderedPageBreak/>
        <w:t>Appendix 1</w:t>
      </w:r>
    </w:p>
    <w:p w14:paraId="269DFAD8" w14:textId="77777777" w:rsidR="00C23B76" w:rsidRDefault="00C23B76">
      <w:pPr>
        <w:pStyle w:val="BodyText"/>
        <w:spacing w:before="1"/>
        <w:rPr>
          <w:b/>
        </w:rPr>
      </w:pPr>
    </w:p>
    <w:p w14:paraId="269DFAD9" w14:textId="77777777" w:rsidR="00C23B76" w:rsidRDefault="00D65794">
      <w:pPr>
        <w:pStyle w:val="BodyText"/>
        <w:ind w:left="280"/>
      </w:pPr>
      <w:r>
        <w:t>List of Acronyms</w:t>
      </w:r>
    </w:p>
    <w:p w14:paraId="269DFADA" w14:textId="37A69333" w:rsidR="00C23B76" w:rsidRDefault="00AF49B0">
      <w:pPr>
        <w:pStyle w:val="BodyText"/>
        <w:spacing w:before="11"/>
        <w:rPr>
          <w:sz w:val="19"/>
        </w:rPr>
      </w:pPr>
      <w:r>
        <w:rPr>
          <w:noProof/>
        </w:rPr>
        <mc:AlternateContent>
          <mc:Choice Requires="wps">
            <w:drawing>
              <wp:anchor distT="0" distB="0" distL="0" distR="0" simplePos="0" relativeHeight="251664384" behindDoc="1" locked="0" layoutInCell="1" allowOverlap="1" wp14:anchorId="269DFB79" wp14:editId="18E40673">
                <wp:simplePos x="0" y="0"/>
                <wp:positionH relativeFrom="page">
                  <wp:posOffset>1790700</wp:posOffset>
                </wp:positionH>
                <wp:positionV relativeFrom="paragraph">
                  <wp:posOffset>170180</wp:posOffset>
                </wp:positionV>
                <wp:extent cx="4192270" cy="163195"/>
                <wp:effectExtent l="0" t="0" r="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163195"/>
                        </a:xfrm>
                        <a:prstGeom prst="rect">
                          <a:avLst/>
                        </a:prstGeom>
                        <a:solidFill>
                          <a:srgbClr val="1F37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DFB98" w14:textId="70BA2108" w:rsidR="00FA76E7" w:rsidRDefault="00FA76E7">
                            <w:pPr>
                              <w:tabs>
                                <w:tab w:val="left" w:pos="3403"/>
                              </w:tabs>
                              <w:spacing w:before="6"/>
                              <w:ind w:left="163"/>
                              <w:rPr>
                                <w:b/>
                                <w:sz w:val="20"/>
                              </w:rPr>
                            </w:pPr>
                            <w:r>
                              <w:rPr>
                                <w:b/>
                                <w:color w:val="FFFFFF"/>
                                <w:sz w:val="20"/>
                              </w:rPr>
                              <w:t>Acronym</w:t>
                            </w:r>
                            <w:r>
                              <w:rPr>
                                <w:b/>
                                <w:color w:val="FFFFFF"/>
                                <w:sz w:val="20"/>
                              </w:rPr>
                              <w:tab/>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9DFB79" id="Text Box 2" o:spid="_x0000_s1027" type="#_x0000_t202" style="position:absolute;margin-left:141pt;margin-top:13.4pt;width:330.1pt;height:12.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" fillcolor="#1f3763" stroked="f">
                <v:textbox inset="0,0,0,0">
                  <w:txbxContent>
                    <w:p w14:paraId="269DFB98" w14:textId="70BA2108" w:rsidR="00FA76E7" w:rsidRDefault="00FA76E7">
                      <w:pPr>
                        <w:tabs>
                          <w:tab w:val="left" w:pos="3403"/>
                        </w:tabs>
                        <w:spacing w:before="6"/>
                        <w:ind w:left="163"/>
                        <w:rPr>
                          <w:b/>
                          <w:sz w:val="20"/>
                        </w:rPr>
                      </w:pPr>
                      <w:r>
                        <w:rPr>
                          <w:b/>
                          <w:color w:val="FFFFFF"/>
                          <w:sz w:val="20"/>
                        </w:rPr>
                        <w:t>Acronym</w:t>
                      </w:r>
                      <w:r>
                        <w:rPr>
                          <w:b/>
                          <w:color w:val="FFFFFF"/>
                          <w:sz w:val="20"/>
                        </w:rPr>
                        <w:tab/>
                        <w:t>Description</w:t>
                      </w:r>
                    </w:p>
                  </w:txbxContent>
                </v:textbox>
                <w10:wrap type="topAndBottom" anchorx="page"/>
              </v:shape>
            </w:pict>
          </mc:Fallback>
        </mc:AlternateContent>
      </w:r>
    </w:p>
    <w:p w14:paraId="269DFADB" w14:textId="77777777" w:rsidR="00C23B76" w:rsidRDefault="00C23B76">
      <w:pPr>
        <w:pStyle w:val="BodyText"/>
        <w:spacing w:before="1"/>
      </w:pPr>
    </w:p>
    <w:tbl>
      <w:tblPr>
        <w:tblW w:w="0" w:type="auto"/>
        <w:tblInd w:w="1395" w:type="dxa"/>
        <w:tblLayout w:type="fixed"/>
        <w:tblCellMar>
          <w:left w:w="0" w:type="dxa"/>
          <w:right w:w="0" w:type="dxa"/>
        </w:tblCellMar>
        <w:tblLook w:val="01E0" w:firstRow="1" w:lastRow="1" w:firstColumn="1" w:lastColumn="1" w:noHBand="0" w:noVBand="0"/>
      </w:tblPr>
      <w:tblGrid>
        <w:gridCol w:w="982"/>
        <w:gridCol w:w="5129"/>
      </w:tblGrid>
      <w:tr w:rsidR="00C23B76" w14:paraId="269DFADE" w14:textId="77777777" w:rsidTr="00216E5A">
        <w:trPr>
          <w:trHeight w:val="194"/>
        </w:trPr>
        <w:tc>
          <w:tcPr>
            <w:tcW w:w="982" w:type="dxa"/>
          </w:tcPr>
          <w:p w14:paraId="269DFADC" w14:textId="77777777" w:rsidR="00C23B76" w:rsidRDefault="00D65794">
            <w:pPr>
              <w:pStyle w:val="TableParagraph"/>
              <w:spacing w:line="164" w:lineRule="exact"/>
              <w:ind w:left="200"/>
              <w:rPr>
                <w:rFonts w:ascii="Calibri"/>
                <w:sz w:val="16"/>
              </w:rPr>
            </w:pPr>
            <w:r>
              <w:rPr>
                <w:rFonts w:ascii="Calibri"/>
                <w:sz w:val="16"/>
              </w:rPr>
              <w:t>AMR</w:t>
            </w:r>
          </w:p>
        </w:tc>
        <w:tc>
          <w:tcPr>
            <w:tcW w:w="5129" w:type="dxa"/>
          </w:tcPr>
          <w:p w14:paraId="269DFADD" w14:textId="77777777" w:rsidR="00C23B76" w:rsidRDefault="00D65794">
            <w:pPr>
              <w:pStyle w:val="TableParagraph"/>
              <w:spacing w:line="164" w:lineRule="exact"/>
              <w:ind w:left="383"/>
              <w:rPr>
                <w:rFonts w:ascii="Calibri"/>
                <w:sz w:val="16"/>
              </w:rPr>
            </w:pPr>
            <w:r>
              <w:rPr>
                <w:rFonts w:ascii="Calibri"/>
                <w:sz w:val="16"/>
              </w:rPr>
              <w:t>Annual Monitoring Report</w:t>
            </w:r>
          </w:p>
        </w:tc>
      </w:tr>
      <w:tr w:rsidR="00C23B76" w14:paraId="269DFAE1" w14:textId="77777777" w:rsidTr="00216E5A">
        <w:trPr>
          <w:trHeight w:val="225"/>
        </w:trPr>
        <w:tc>
          <w:tcPr>
            <w:tcW w:w="982" w:type="dxa"/>
          </w:tcPr>
          <w:p w14:paraId="269DFADF" w14:textId="77777777" w:rsidR="00C23B76" w:rsidRDefault="00D65794">
            <w:pPr>
              <w:pStyle w:val="TableParagraph"/>
              <w:ind w:left="200"/>
              <w:rPr>
                <w:rFonts w:ascii="Calibri"/>
                <w:sz w:val="16"/>
              </w:rPr>
            </w:pPr>
            <w:r>
              <w:rPr>
                <w:rFonts w:ascii="Calibri"/>
                <w:sz w:val="16"/>
              </w:rPr>
              <w:t>APR</w:t>
            </w:r>
          </w:p>
        </w:tc>
        <w:tc>
          <w:tcPr>
            <w:tcW w:w="5129" w:type="dxa"/>
          </w:tcPr>
          <w:p w14:paraId="269DFAE0" w14:textId="77777777" w:rsidR="00C23B76" w:rsidRDefault="00D65794">
            <w:pPr>
              <w:pStyle w:val="TableParagraph"/>
              <w:ind w:left="383"/>
              <w:rPr>
                <w:rFonts w:ascii="Calibri"/>
                <w:sz w:val="16"/>
              </w:rPr>
            </w:pPr>
            <w:r>
              <w:rPr>
                <w:rFonts w:ascii="Calibri"/>
                <w:sz w:val="16"/>
              </w:rPr>
              <w:t>Annual Portfolio Review for the Evaluation Office</w:t>
            </w:r>
          </w:p>
        </w:tc>
      </w:tr>
      <w:tr w:rsidR="00C23B76" w14:paraId="269DFAE4" w14:textId="77777777" w:rsidTr="00216E5A">
        <w:trPr>
          <w:trHeight w:val="225"/>
        </w:trPr>
        <w:tc>
          <w:tcPr>
            <w:tcW w:w="982" w:type="dxa"/>
          </w:tcPr>
          <w:p w14:paraId="269DFAE2" w14:textId="77777777" w:rsidR="00C23B76" w:rsidRDefault="00D65794">
            <w:pPr>
              <w:pStyle w:val="TableParagraph"/>
              <w:spacing w:line="195" w:lineRule="exact"/>
              <w:ind w:left="200"/>
              <w:rPr>
                <w:rFonts w:ascii="Calibri"/>
                <w:sz w:val="16"/>
              </w:rPr>
            </w:pPr>
            <w:r>
              <w:rPr>
                <w:rFonts w:ascii="Calibri"/>
                <w:sz w:val="16"/>
              </w:rPr>
              <w:t>ASL</w:t>
            </w:r>
          </w:p>
        </w:tc>
        <w:tc>
          <w:tcPr>
            <w:tcW w:w="5129" w:type="dxa"/>
          </w:tcPr>
          <w:p w14:paraId="269DFAE3" w14:textId="77777777" w:rsidR="00C23B76" w:rsidRDefault="00D65794">
            <w:pPr>
              <w:pStyle w:val="TableParagraph"/>
              <w:spacing w:line="195" w:lineRule="exact"/>
              <w:ind w:left="383"/>
              <w:rPr>
                <w:rFonts w:ascii="Calibri"/>
                <w:sz w:val="16"/>
              </w:rPr>
            </w:pPr>
            <w:r>
              <w:rPr>
                <w:rFonts w:ascii="Calibri"/>
                <w:sz w:val="16"/>
              </w:rPr>
              <w:t>Authorized Spending Limit</w:t>
            </w:r>
          </w:p>
        </w:tc>
      </w:tr>
      <w:tr w:rsidR="00C23B76" w14:paraId="269DFAE7" w14:textId="77777777" w:rsidTr="00216E5A">
        <w:trPr>
          <w:trHeight w:val="226"/>
        </w:trPr>
        <w:tc>
          <w:tcPr>
            <w:tcW w:w="982" w:type="dxa"/>
          </w:tcPr>
          <w:p w14:paraId="269DFAE5" w14:textId="77777777" w:rsidR="00C23B76" w:rsidRDefault="00D65794">
            <w:pPr>
              <w:pStyle w:val="TableParagraph"/>
              <w:ind w:left="200"/>
              <w:rPr>
                <w:rFonts w:ascii="Calibri"/>
                <w:sz w:val="16"/>
              </w:rPr>
            </w:pPr>
            <w:r>
              <w:rPr>
                <w:rFonts w:ascii="Calibri"/>
                <w:sz w:val="16"/>
              </w:rPr>
              <w:t>AWP</w:t>
            </w:r>
          </w:p>
        </w:tc>
        <w:tc>
          <w:tcPr>
            <w:tcW w:w="5129" w:type="dxa"/>
          </w:tcPr>
          <w:p w14:paraId="269DFAE6" w14:textId="77777777" w:rsidR="00C23B76" w:rsidRDefault="00D65794">
            <w:pPr>
              <w:pStyle w:val="TableParagraph"/>
              <w:ind w:left="383"/>
              <w:rPr>
                <w:rFonts w:ascii="Calibri"/>
                <w:sz w:val="16"/>
              </w:rPr>
            </w:pPr>
            <w:r>
              <w:rPr>
                <w:rFonts w:ascii="Calibri"/>
                <w:sz w:val="16"/>
              </w:rPr>
              <w:t>Annual Work Plan</w:t>
            </w:r>
          </w:p>
        </w:tc>
      </w:tr>
      <w:tr w:rsidR="00C23B76" w14:paraId="269DFAEA" w14:textId="77777777" w:rsidTr="00216E5A">
        <w:trPr>
          <w:trHeight w:val="226"/>
        </w:trPr>
        <w:tc>
          <w:tcPr>
            <w:tcW w:w="982" w:type="dxa"/>
          </w:tcPr>
          <w:p w14:paraId="269DFAE8" w14:textId="77777777" w:rsidR="00C23B76" w:rsidRDefault="00D65794">
            <w:pPr>
              <w:pStyle w:val="TableParagraph"/>
              <w:ind w:left="200"/>
              <w:rPr>
                <w:rFonts w:ascii="Calibri"/>
                <w:sz w:val="16"/>
              </w:rPr>
            </w:pPr>
            <w:r>
              <w:rPr>
                <w:rFonts w:ascii="Calibri"/>
                <w:sz w:val="16"/>
              </w:rPr>
              <w:t>BMS</w:t>
            </w:r>
          </w:p>
        </w:tc>
        <w:tc>
          <w:tcPr>
            <w:tcW w:w="5129" w:type="dxa"/>
          </w:tcPr>
          <w:p w14:paraId="269DFAE9" w14:textId="77777777" w:rsidR="00C23B76" w:rsidRDefault="00D65794">
            <w:pPr>
              <w:pStyle w:val="TableParagraph"/>
              <w:ind w:left="383"/>
              <w:rPr>
                <w:rFonts w:ascii="Calibri"/>
                <w:sz w:val="16"/>
              </w:rPr>
            </w:pPr>
            <w:r>
              <w:rPr>
                <w:rFonts w:ascii="Calibri"/>
                <w:sz w:val="16"/>
              </w:rPr>
              <w:t>Bureau for Management Services</w:t>
            </w:r>
          </w:p>
        </w:tc>
      </w:tr>
      <w:tr w:rsidR="00C23B76" w14:paraId="269DFAED" w14:textId="77777777" w:rsidTr="00216E5A">
        <w:trPr>
          <w:trHeight w:val="225"/>
        </w:trPr>
        <w:tc>
          <w:tcPr>
            <w:tcW w:w="982" w:type="dxa"/>
          </w:tcPr>
          <w:p w14:paraId="269DFAEB" w14:textId="77777777" w:rsidR="00C23B76" w:rsidRDefault="00D65794">
            <w:pPr>
              <w:pStyle w:val="TableParagraph"/>
              <w:ind w:left="200"/>
              <w:rPr>
                <w:rFonts w:ascii="Calibri"/>
                <w:sz w:val="16"/>
              </w:rPr>
            </w:pPr>
            <w:r>
              <w:rPr>
                <w:rFonts w:ascii="Calibri"/>
                <w:sz w:val="16"/>
              </w:rPr>
              <w:t>BPPS</w:t>
            </w:r>
          </w:p>
        </w:tc>
        <w:tc>
          <w:tcPr>
            <w:tcW w:w="5129" w:type="dxa"/>
          </w:tcPr>
          <w:p w14:paraId="269DFAEC" w14:textId="77777777" w:rsidR="00C23B76" w:rsidRDefault="00D65794">
            <w:pPr>
              <w:pStyle w:val="TableParagraph"/>
              <w:ind w:left="383"/>
              <w:rPr>
                <w:rFonts w:ascii="Calibri"/>
                <w:sz w:val="16"/>
              </w:rPr>
            </w:pPr>
            <w:r>
              <w:rPr>
                <w:rFonts w:ascii="Calibri"/>
                <w:sz w:val="16"/>
              </w:rPr>
              <w:t>Bureau for Policy and Programme Support</w:t>
            </w:r>
          </w:p>
        </w:tc>
      </w:tr>
      <w:tr w:rsidR="00C23B76" w14:paraId="269DFAF0" w14:textId="77777777" w:rsidTr="00216E5A">
        <w:trPr>
          <w:trHeight w:val="225"/>
        </w:trPr>
        <w:tc>
          <w:tcPr>
            <w:tcW w:w="982" w:type="dxa"/>
          </w:tcPr>
          <w:p w14:paraId="269DFAEE" w14:textId="77777777" w:rsidR="00C23B76" w:rsidRDefault="00D65794">
            <w:pPr>
              <w:pStyle w:val="TableParagraph"/>
              <w:spacing w:line="195" w:lineRule="exact"/>
              <w:ind w:left="200"/>
              <w:rPr>
                <w:rFonts w:ascii="Calibri"/>
                <w:sz w:val="16"/>
              </w:rPr>
            </w:pPr>
            <w:r>
              <w:rPr>
                <w:rFonts w:ascii="Calibri"/>
                <w:sz w:val="16"/>
              </w:rPr>
              <w:t>CBIT</w:t>
            </w:r>
          </w:p>
        </w:tc>
        <w:tc>
          <w:tcPr>
            <w:tcW w:w="5129" w:type="dxa"/>
          </w:tcPr>
          <w:p w14:paraId="269DFAEF" w14:textId="77777777" w:rsidR="00C23B76" w:rsidRDefault="00D65794">
            <w:pPr>
              <w:pStyle w:val="TableParagraph"/>
              <w:spacing w:line="195" w:lineRule="exact"/>
              <w:ind w:left="383"/>
              <w:rPr>
                <w:rFonts w:ascii="Calibri"/>
                <w:sz w:val="16"/>
              </w:rPr>
            </w:pPr>
            <w:r>
              <w:rPr>
                <w:rFonts w:ascii="Calibri"/>
                <w:sz w:val="16"/>
              </w:rPr>
              <w:t>Capacity-building Initiative for Transparency</w:t>
            </w:r>
          </w:p>
        </w:tc>
      </w:tr>
      <w:tr w:rsidR="00C23B76" w14:paraId="269DFAF3" w14:textId="77777777" w:rsidTr="00216E5A">
        <w:trPr>
          <w:trHeight w:val="226"/>
        </w:trPr>
        <w:tc>
          <w:tcPr>
            <w:tcW w:w="982" w:type="dxa"/>
          </w:tcPr>
          <w:p w14:paraId="269DFAF1" w14:textId="77777777" w:rsidR="00C23B76" w:rsidRDefault="00D65794">
            <w:pPr>
              <w:pStyle w:val="TableParagraph"/>
              <w:ind w:left="200"/>
              <w:rPr>
                <w:rFonts w:ascii="Calibri"/>
                <w:sz w:val="16"/>
              </w:rPr>
            </w:pPr>
            <w:r>
              <w:rPr>
                <w:rFonts w:ascii="Calibri"/>
                <w:sz w:val="16"/>
              </w:rPr>
              <w:t>CEO</w:t>
            </w:r>
          </w:p>
        </w:tc>
        <w:tc>
          <w:tcPr>
            <w:tcW w:w="5129" w:type="dxa"/>
          </w:tcPr>
          <w:p w14:paraId="269DFAF2" w14:textId="77777777" w:rsidR="00C23B76" w:rsidRDefault="00D65794">
            <w:pPr>
              <w:pStyle w:val="TableParagraph"/>
              <w:ind w:left="383"/>
              <w:rPr>
                <w:rFonts w:ascii="Calibri"/>
                <w:sz w:val="16"/>
              </w:rPr>
            </w:pPr>
            <w:r>
              <w:rPr>
                <w:rFonts w:ascii="Calibri"/>
                <w:sz w:val="16"/>
              </w:rPr>
              <w:t>Chief Executive Officer</w:t>
            </w:r>
          </w:p>
        </w:tc>
      </w:tr>
      <w:tr w:rsidR="00C23B76" w14:paraId="269DFAF6" w14:textId="77777777" w:rsidTr="00216E5A">
        <w:trPr>
          <w:trHeight w:val="226"/>
        </w:trPr>
        <w:tc>
          <w:tcPr>
            <w:tcW w:w="982" w:type="dxa"/>
          </w:tcPr>
          <w:p w14:paraId="269DFAF4" w14:textId="77777777" w:rsidR="00C23B76" w:rsidRDefault="00D65794">
            <w:pPr>
              <w:pStyle w:val="TableParagraph"/>
              <w:spacing w:before="1"/>
              <w:ind w:left="200"/>
              <w:rPr>
                <w:rFonts w:ascii="Calibri"/>
                <w:sz w:val="16"/>
              </w:rPr>
            </w:pPr>
            <w:r>
              <w:rPr>
                <w:rFonts w:ascii="Calibri"/>
                <w:sz w:val="16"/>
              </w:rPr>
              <w:t>CO</w:t>
            </w:r>
          </w:p>
        </w:tc>
        <w:tc>
          <w:tcPr>
            <w:tcW w:w="5129" w:type="dxa"/>
          </w:tcPr>
          <w:p w14:paraId="269DFAF5" w14:textId="77777777" w:rsidR="00C23B76" w:rsidRDefault="00D65794">
            <w:pPr>
              <w:pStyle w:val="TableParagraph"/>
              <w:spacing w:before="1"/>
              <w:ind w:left="383"/>
              <w:rPr>
                <w:rFonts w:ascii="Calibri"/>
                <w:sz w:val="16"/>
              </w:rPr>
            </w:pPr>
            <w:r>
              <w:rPr>
                <w:rFonts w:ascii="Calibri"/>
                <w:sz w:val="16"/>
              </w:rPr>
              <w:t>Country Office</w:t>
            </w:r>
          </w:p>
        </w:tc>
      </w:tr>
      <w:tr w:rsidR="00C23B76" w14:paraId="269DFAF9" w14:textId="77777777" w:rsidTr="00216E5A">
        <w:trPr>
          <w:trHeight w:val="225"/>
        </w:trPr>
        <w:tc>
          <w:tcPr>
            <w:tcW w:w="982" w:type="dxa"/>
          </w:tcPr>
          <w:p w14:paraId="269DFAF7" w14:textId="77777777" w:rsidR="00C23B76" w:rsidRDefault="00D65794">
            <w:pPr>
              <w:pStyle w:val="TableParagraph"/>
              <w:ind w:left="200"/>
              <w:rPr>
                <w:rFonts w:ascii="Calibri"/>
                <w:sz w:val="16"/>
              </w:rPr>
            </w:pPr>
            <w:r>
              <w:rPr>
                <w:rFonts w:ascii="Calibri"/>
                <w:sz w:val="16"/>
              </w:rPr>
              <w:t>CSP</w:t>
            </w:r>
          </w:p>
        </w:tc>
        <w:tc>
          <w:tcPr>
            <w:tcW w:w="5129" w:type="dxa"/>
          </w:tcPr>
          <w:p w14:paraId="269DFAF8" w14:textId="77777777" w:rsidR="00C23B76" w:rsidRDefault="00D65794">
            <w:pPr>
              <w:pStyle w:val="TableParagraph"/>
              <w:ind w:left="383"/>
              <w:rPr>
                <w:rFonts w:ascii="Calibri"/>
                <w:sz w:val="16"/>
              </w:rPr>
            </w:pPr>
            <w:r>
              <w:rPr>
                <w:rFonts w:ascii="Calibri"/>
                <w:sz w:val="16"/>
              </w:rPr>
              <w:t>Country Support Programme</w:t>
            </w:r>
          </w:p>
        </w:tc>
      </w:tr>
      <w:tr w:rsidR="00C23B76" w14:paraId="269DFAFC" w14:textId="77777777" w:rsidTr="00216E5A">
        <w:trPr>
          <w:trHeight w:val="225"/>
        </w:trPr>
        <w:tc>
          <w:tcPr>
            <w:tcW w:w="982" w:type="dxa"/>
          </w:tcPr>
          <w:p w14:paraId="269DFAFA" w14:textId="77777777" w:rsidR="00C23B76" w:rsidRDefault="00D65794">
            <w:pPr>
              <w:pStyle w:val="TableParagraph"/>
              <w:spacing w:line="195" w:lineRule="exact"/>
              <w:ind w:left="200"/>
              <w:rPr>
                <w:rFonts w:ascii="Calibri"/>
                <w:sz w:val="16"/>
              </w:rPr>
            </w:pPr>
            <w:r>
              <w:rPr>
                <w:rFonts w:ascii="Calibri"/>
                <w:sz w:val="16"/>
              </w:rPr>
              <w:t>DIM</w:t>
            </w:r>
          </w:p>
        </w:tc>
        <w:tc>
          <w:tcPr>
            <w:tcW w:w="5129" w:type="dxa"/>
          </w:tcPr>
          <w:p w14:paraId="269DFAFB" w14:textId="77777777" w:rsidR="00C23B76" w:rsidRDefault="00D65794">
            <w:pPr>
              <w:pStyle w:val="TableParagraph"/>
              <w:spacing w:line="195" w:lineRule="exact"/>
              <w:ind w:left="383"/>
              <w:rPr>
                <w:rFonts w:ascii="Calibri"/>
                <w:sz w:val="16"/>
              </w:rPr>
            </w:pPr>
            <w:r>
              <w:rPr>
                <w:rFonts w:ascii="Calibri"/>
                <w:sz w:val="16"/>
              </w:rPr>
              <w:t>Direct Implementation</w:t>
            </w:r>
          </w:p>
        </w:tc>
      </w:tr>
      <w:tr w:rsidR="00C23B76" w14:paraId="269DFAFF" w14:textId="77777777" w:rsidTr="00216E5A">
        <w:trPr>
          <w:trHeight w:val="226"/>
        </w:trPr>
        <w:tc>
          <w:tcPr>
            <w:tcW w:w="982" w:type="dxa"/>
          </w:tcPr>
          <w:p w14:paraId="269DFAFD" w14:textId="77777777" w:rsidR="00C23B76" w:rsidRDefault="00D65794">
            <w:pPr>
              <w:pStyle w:val="TableParagraph"/>
              <w:ind w:left="200"/>
              <w:rPr>
                <w:rFonts w:ascii="Calibri"/>
                <w:sz w:val="16"/>
              </w:rPr>
            </w:pPr>
            <w:r>
              <w:rPr>
                <w:rFonts w:ascii="Calibri"/>
                <w:sz w:val="16"/>
              </w:rPr>
              <w:t>EA</w:t>
            </w:r>
          </w:p>
        </w:tc>
        <w:tc>
          <w:tcPr>
            <w:tcW w:w="5129" w:type="dxa"/>
          </w:tcPr>
          <w:p w14:paraId="269DFAFE" w14:textId="77777777" w:rsidR="00C23B76" w:rsidRDefault="00D65794">
            <w:pPr>
              <w:pStyle w:val="TableParagraph"/>
              <w:ind w:left="383"/>
              <w:rPr>
                <w:rFonts w:ascii="Calibri"/>
                <w:sz w:val="16"/>
              </w:rPr>
            </w:pPr>
            <w:r>
              <w:rPr>
                <w:rFonts w:ascii="Calibri"/>
                <w:sz w:val="16"/>
              </w:rPr>
              <w:t>Enabling Activity</w:t>
            </w:r>
          </w:p>
        </w:tc>
      </w:tr>
      <w:tr w:rsidR="00C23B76" w14:paraId="269DFB02" w14:textId="77777777" w:rsidTr="00216E5A">
        <w:trPr>
          <w:trHeight w:val="226"/>
        </w:trPr>
        <w:tc>
          <w:tcPr>
            <w:tcW w:w="982" w:type="dxa"/>
          </w:tcPr>
          <w:p w14:paraId="269DFB00" w14:textId="77777777" w:rsidR="00C23B76" w:rsidRDefault="00D65794">
            <w:pPr>
              <w:pStyle w:val="TableParagraph"/>
              <w:ind w:left="200"/>
              <w:rPr>
                <w:rFonts w:ascii="Calibri"/>
                <w:sz w:val="16"/>
              </w:rPr>
            </w:pPr>
            <w:r>
              <w:rPr>
                <w:rFonts w:ascii="Calibri"/>
                <w:sz w:val="16"/>
              </w:rPr>
              <w:t>EA</w:t>
            </w:r>
          </w:p>
        </w:tc>
        <w:tc>
          <w:tcPr>
            <w:tcW w:w="5129" w:type="dxa"/>
          </w:tcPr>
          <w:p w14:paraId="269DFB01" w14:textId="77777777" w:rsidR="00C23B76" w:rsidRDefault="00D65794">
            <w:pPr>
              <w:pStyle w:val="TableParagraph"/>
              <w:ind w:left="383"/>
              <w:rPr>
                <w:rFonts w:ascii="Calibri"/>
                <w:sz w:val="16"/>
              </w:rPr>
            </w:pPr>
            <w:r>
              <w:rPr>
                <w:rFonts w:ascii="Calibri"/>
                <w:sz w:val="16"/>
              </w:rPr>
              <w:t>Project Executing Entity (Implementing Partner in UNDP terminology)</w:t>
            </w:r>
          </w:p>
        </w:tc>
      </w:tr>
      <w:tr w:rsidR="00C23B76" w14:paraId="269DFB05" w14:textId="77777777" w:rsidTr="00216E5A">
        <w:trPr>
          <w:trHeight w:val="225"/>
        </w:trPr>
        <w:tc>
          <w:tcPr>
            <w:tcW w:w="982" w:type="dxa"/>
          </w:tcPr>
          <w:p w14:paraId="269DFB03" w14:textId="77777777" w:rsidR="00C23B76" w:rsidRDefault="00D65794">
            <w:pPr>
              <w:pStyle w:val="TableParagraph"/>
              <w:ind w:left="200"/>
              <w:rPr>
                <w:rFonts w:ascii="Calibri"/>
                <w:sz w:val="16"/>
              </w:rPr>
            </w:pPr>
            <w:r>
              <w:rPr>
                <w:rFonts w:ascii="Calibri"/>
                <w:sz w:val="16"/>
              </w:rPr>
              <w:t>FSP</w:t>
            </w:r>
          </w:p>
        </w:tc>
        <w:tc>
          <w:tcPr>
            <w:tcW w:w="5129" w:type="dxa"/>
          </w:tcPr>
          <w:p w14:paraId="269DFB04" w14:textId="77777777" w:rsidR="00C23B76" w:rsidRDefault="00D65794">
            <w:pPr>
              <w:pStyle w:val="TableParagraph"/>
              <w:ind w:left="383"/>
              <w:rPr>
                <w:rFonts w:ascii="Calibri"/>
                <w:sz w:val="16"/>
              </w:rPr>
            </w:pPr>
            <w:r>
              <w:rPr>
                <w:rFonts w:ascii="Calibri"/>
                <w:sz w:val="16"/>
              </w:rPr>
              <w:t>Full Sized Project</w:t>
            </w:r>
          </w:p>
        </w:tc>
      </w:tr>
      <w:tr w:rsidR="00C23B76" w14:paraId="269DFB08" w14:textId="77777777" w:rsidTr="00216E5A">
        <w:trPr>
          <w:trHeight w:val="225"/>
        </w:trPr>
        <w:tc>
          <w:tcPr>
            <w:tcW w:w="982" w:type="dxa"/>
          </w:tcPr>
          <w:p w14:paraId="269DFB06" w14:textId="77777777" w:rsidR="00C23B76" w:rsidRDefault="00D65794">
            <w:pPr>
              <w:pStyle w:val="TableParagraph"/>
              <w:spacing w:line="195" w:lineRule="exact"/>
              <w:ind w:left="200"/>
              <w:rPr>
                <w:rFonts w:ascii="Calibri"/>
                <w:sz w:val="16"/>
              </w:rPr>
            </w:pPr>
            <w:r>
              <w:rPr>
                <w:rFonts w:ascii="Calibri"/>
                <w:sz w:val="16"/>
              </w:rPr>
              <w:t>GEF</w:t>
            </w:r>
          </w:p>
        </w:tc>
        <w:tc>
          <w:tcPr>
            <w:tcW w:w="5129" w:type="dxa"/>
          </w:tcPr>
          <w:p w14:paraId="269DFB07" w14:textId="77777777" w:rsidR="00C23B76" w:rsidRDefault="00D65794">
            <w:pPr>
              <w:pStyle w:val="TableParagraph"/>
              <w:spacing w:line="195" w:lineRule="exact"/>
              <w:ind w:left="383"/>
              <w:rPr>
                <w:rFonts w:ascii="Calibri"/>
                <w:sz w:val="16"/>
              </w:rPr>
            </w:pPr>
            <w:r>
              <w:rPr>
                <w:rFonts w:ascii="Calibri"/>
                <w:sz w:val="16"/>
              </w:rPr>
              <w:t>Global Environment Facility</w:t>
            </w:r>
          </w:p>
        </w:tc>
      </w:tr>
      <w:tr w:rsidR="00C23B76" w14:paraId="269DFB0B" w14:textId="77777777" w:rsidTr="00216E5A">
        <w:trPr>
          <w:trHeight w:val="226"/>
        </w:trPr>
        <w:tc>
          <w:tcPr>
            <w:tcW w:w="982" w:type="dxa"/>
          </w:tcPr>
          <w:p w14:paraId="269DFB09" w14:textId="77777777" w:rsidR="00C23B76" w:rsidRDefault="00D65794">
            <w:pPr>
              <w:pStyle w:val="TableParagraph"/>
              <w:ind w:left="200"/>
              <w:rPr>
                <w:rFonts w:ascii="Calibri"/>
                <w:sz w:val="16"/>
              </w:rPr>
            </w:pPr>
            <w:r>
              <w:rPr>
                <w:rFonts w:ascii="Calibri"/>
                <w:sz w:val="16"/>
              </w:rPr>
              <w:t>GL</w:t>
            </w:r>
          </w:p>
        </w:tc>
        <w:tc>
          <w:tcPr>
            <w:tcW w:w="5129" w:type="dxa"/>
          </w:tcPr>
          <w:p w14:paraId="269DFB0A" w14:textId="77777777" w:rsidR="00C23B76" w:rsidRDefault="00D65794">
            <w:pPr>
              <w:pStyle w:val="TableParagraph"/>
              <w:ind w:left="383"/>
              <w:rPr>
                <w:rFonts w:ascii="Calibri"/>
                <w:sz w:val="16"/>
              </w:rPr>
            </w:pPr>
            <w:r>
              <w:rPr>
                <w:rFonts w:ascii="Calibri"/>
                <w:sz w:val="16"/>
              </w:rPr>
              <w:t>General Ledger</w:t>
            </w:r>
          </w:p>
        </w:tc>
      </w:tr>
      <w:tr w:rsidR="00C23B76" w14:paraId="269DFB0E" w14:textId="77777777" w:rsidTr="00216E5A">
        <w:trPr>
          <w:trHeight w:val="226"/>
        </w:trPr>
        <w:tc>
          <w:tcPr>
            <w:tcW w:w="982" w:type="dxa"/>
          </w:tcPr>
          <w:p w14:paraId="269DFB0C" w14:textId="77777777" w:rsidR="00C23B76" w:rsidRDefault="00D65794">
            <w:pPr>
              <w:pStyle w:val="TableParagraph"/>
              <w:ind w:left="200"/>
              <w:rPr>
                <w:rFonts w:ascii="Calibri"/>
                <w:sz w:val="16"/>
              </w:rPr>
            </w:pPr>
            <w:r>
              <w:rPr>
                <w:rFonts w:ascii="Calibri"/>
                <w:sz w:val="16"/>
              </w:rPr>
              <w:t>GMS</w:t>
            </w:r>
          </w:p>
        </w:tc>
        <w:tc>
          <w:tcPr>
            <w:tcW w:w="5129" w:type="dxa"/>
          </w:tcPr>
          <w:p w14:paraId="269DFB0D" w14:textId="77777777" w:rsidR="00C23B76" w:rsidRDefault="00D65794">
            <w:pPr>
              <w:pStyle w:val="TableParagraph"/>
              <w:ind w:left="383"/>
              <w:rPr>
                <w:rFonts w:ascii="Calibri"/>
                <w:sz w:val="16"/>
              </w:rPr>
            </w:pPr>
            <w:r>
              <w:rPr>
                <w:rFonts w:ascii="Calibri"/>
                <w:sz w:val="16"/>
              </w:rPr>
              <w:t>General Management Service</w:t>
            </w:r>
          </w:p>
        </w:tc>
      </w:tr>
      <w:tr w:rsidR="00C23B76" w14:paraId="269DFB11" w14:textId="77777777" w:rsidTr="00216E5A">
        <w:trPr>
          <w:trHeight w:val="225"/>
        </w:trPr>
        <w:tc>
          <w:tcPr>
            <w:tcW w:w="982" w:type="dxa"/>
          </w:tcPr>
          <w:p w14:paraId="269DFB0F" w14:textId="77777777" w:rsidR="00C23B76" w:rsidRDefault="00D65794">
            <w:pPr>
              <w:pStyle w:val="TableParagraph"/>
              <w:ind w:left="200"/>
              <w:rPr>
                <w:rFonts w:ascii="Calibri"/>
                <w:sz w:val="16"/>
              </w:rPr>
            </w:pPr>
            <w:r>
              <w:rPr>
                <w:rFonts w:ascii="Calibri"/>
                <w:sz w:val="16"/>
              </w:rPr>
              <w:t>HACT</w:t>
            </w:r>
          </w:p>
        </w:tc>
        <w:tc>
          <w:tcPr>
            <w:tcW w:w="5129" w:type="dxa"/>
          </w:tcPr>
          <w:p w14:paraId="269DFB10" w14:textId="77777777" w:rsidR="00C23B76" w:rsidRDefault="00D65794">
            <w:pPr>
              <w:pStyle w:val="TableParagraph"/>
              <w:ind w:left="383"/>
              <w:rPr>
                <w:rFonts w:ascii="Calibri"/>
                <w:sz w:val="16"/>
              </w:rPr>
            </w:pPr>
            <w:r>
              <w:rPr>
                <w:rFonts w:ascii="Calibri"/>
                <w:sz w:val="16"/>
              </w:rPr>
              <w:t>Harmonized Approach to Cash Transfers</w:t>
            </w:r>
          </w:p>
        </w:tc>
      </w:tr>
      <w:tr w:rsidR="00C23B76" w14:paraId="269DFB14" w14:textId="77777777" w:rsidTr="00216E5A">
        <w:trPr>
          <w:trHeight w:val="225"/>
        </w:trPr>
        <w:tc>
          <w:tcPr>
            <w:tcW w:w="982" w:type="dxa"/>
          </w:tcPr>
          <w:p w14:paraId="269DFB12" w14:textId="77777777" w:rsidR="00C23B76" w:rsidRDefault="00D65794">
            <w:pPr>
              <w:pStyle w:val="TableParagraph"/>
              <w:spacing w:line="195" w:lineRule="exact"/>
              <w:ind w:left="200"/>
              <w:rPr>
                <w:rFonts w:ascii="Calibri"/>
                <w:sz w:val="16"/>
              </w:rPr>
            </w:pPr>
            <w:r>
              <w:rPr>
                <w:rFonts w:ascii="Calibri"/>
                <w:sz w:val="16"/>
              </w:rPr>
              <w:t>HR</w:t>
            </w:r>
          </w:p>
        </w:tc>
        <w:tc>
          <w:tcPr>
            <w:tcW w:w="5129" w:type="dxa"/>
          </w:tcPr>
          <w:p w14:paraId="269DFB13" w14:textId="77777777" w:rsidR="00C23B76" w:rsidRDefault="00D65794">
            <w:pPr>
              <w:pStyle w:val="TableParagraph"/>
              <w:spacing w:line="195" w:lineRule="exact"/>
              <w:ind w:left="383"/>
              <w:rPr>
                <w:rFonts w:ascii="Calibri"/>
                <w:sz w:val="16"/>
              </w:rPr>
            </w:pPr>
            <w:r>
              <w:rPr>
                <w:rFonts w:ascii="Calibri"/>
                <w:sz w:val="16"/>
              </w:rPr>
              <w:t>Human Resources</w:t>
            </w:r>
          </w:p>
        </w:tc>
      </w:tr>
      <w:tr w:rsidR="00C23B76" w14:paraId="269DFB17" w14:textId="77777777" w:rsidTr="00216E5A">
        <w:trPr>
          <w:trHeight w:val="226"/>
        </w:trPr>
        <w:tc>
          <w:tcPr>
            <w:tcW w:w="982" w:type="dxa"/>
          </w:tcPr>
          <w:p w14:paraId="269DFB15" w14:textId="77777777" w:rsidR="00C23B76" w:rsidRDefault="00D65794">
            <w:pPr>
              <w:pStyle w:val="TableParagraph"/>
              <w:ind w:left="200"/>
              <w:rPr>
                <w:rFonts w:ascii="Calibri"/>
                <w:sz w:val="16"/>
              </w:rPr>
            </w:pPr>
            <w:r>
              <w:rPr>
                <w:rFonts w:ascii="Calibri"/>
                <w:sz w:val="16"/>
              </w:rPr>
              <w:t>IB</w:t>
            </w:r>
          </w:p>
        </w:tc>
        <w:tc>
          <w:tcPr>
            <w:tcW w:w="5129" w:type="dxa"/>
          </w:tcPr>
          <w:p w14:paraId="269DFB16" w14:textId="77777777" w:rsidR="00C23B76" w:rsidRDefault="00D65794">
            <w:pPr>
              <w:pStyle w:val="TableParagraph"/>
              <w:ind w:left="383"/>
              <w:rPr>
                <w:rFonts w:ascii="Calibri"/>
                <w:sz w:val="16"/>
              </w:rPr>
            </w:pPr>
            <w:r>
              <w:rPr>
                <w:rFonts w:ascii="Calibri"/>
                <w:sz w:val="16"/>
              </w:rPr>
              <w:t>Institution Budget</w:t>
            </w:r>
          </w:p>
        </w:tc>
      </w:tr>
      <w:tr w:rsidR="00C23B76" w14:paraId="269DFB1A" w14:textId="77777777" w:rsidTr="00216E5A">
        <w:trPr>
          <w:trHeight w:val="226"/>
        </w:trPr>
        <w:tc>
          <w:tcPr>
            <w:tcW w:w="982" w:type="dxa"/>
          </w:tcPr>
          <w:p w14:paraId="269DFB18" w14:textId="77777777" w:rsidR="00C23B76" w:rsidRDefault="00D65794">
            <w:pPr>
              <w:pStyle w:val="TableParagraph"/>
              <w:ind w:left="200"/>
              <w:rPr>
                <w:rFonts w:ascii="Calibri"/>
                <w:sz w:val="16"/>
              </w:rPr>
            </w:pPr>
            <w:r>
              <w:rPr>
                <w:rFonts w:ascii="Calibri"/>
                <w:sz w:val="16"/>
              </w:rPr>
              <w:t>IGO</w:t>
            </w:r>
          </w:p>
        </w:tc>
        <w:tc>
          <w:tcPr>
            <w:tcW w:w="5129" w:type="dxa"/>
          </w:tcPr>
          <w:p w14:paraId="269DFB19" w14:textId="77777777" w:rsidR="00C23B76" w:rsidRDefault="00D65794">
            <w:pPr>
              <w:pStyle w:val="TableParagraph"/>
              <w:ind w:left="383"/>
              <w:rPr>
                <w:rFonts w:ascii="Calibri"/>
                <w:sz w:val="16"/>
              </w:rPr>
            </w:pPr>
            <w:r>
              <w:rPr>
                <w:rFonts w:ascii="Calibri"/>
                <w:sz w:val="16"/>
              </w:rPr>
              <w:t>Intergovernmental Organization</w:t>
            </w:r>
          </w:p>
        </w:tc>
      </w:tr>
      <w:tr w:rsidR="00C23B76" w14:paraId="269DFB1D" w14:textId="77777777" w:rsidTr="00216E5A">
        <w:trPr>
          <w:trHeight w:val="225"/>
        </w:trPr>
        <w:tc>
          <w:tcPr>
            <w:tcW w:w="982" w:type="dxa"/>
          </w:tcPr>
          <w:p w14:paraId="269DFB1B" w14:textId="77777777" w:rsidR="00C23B76" w:rsidRDefault="00D65794">
            <w:pPr>
              <w:pStyle w:val="TableParagraph"/>
              <w:ind w:left="200"/>
              <w:rPr>
                <w:rFonts w:ascii="Calibri"/>
                <w:sz w:val="16"/>
              </w:rPr>
            </w:pPr>
            <w:r>
              <w:rPr>
                <w:rFonts w:ascii="Calibri"/>
                <w:sz w:val="16"/>
              </w:rPr>
              <w:t>IP</w:t>
            </w:r>
          </w:p>
        </w:tc>
        <w:tc>
          <w:tcPr>
            <w:tcW w:w="5129" w:type="dxa"/>
          </w:tcPr>
          <w:p w14:paraId="269DFB1C" w14:textId="77777777" w:rsidR="00C23B76" w:rsidRDefault="00D65794">
            <w:pPr>
              <w:pStyle w:val="TableParagraph"/>
              <w:ind w:left="383"/>
              <w:rPr>
                <w:rFonts w:ascii="Calibri"/>
                <w:sz w:val="16"/>
              </w:rPr>
            </w:pPr>
            <w:r>
              <w:rPr>
                <w:rFonts w:ascii="Calibri"/>
                <w:sz w:val="16"/>
              </w:rPr>
              <w:t>Implementing Partner</w:t>
            </w:r>
          </w:p>
        </w:tc>
      </w:tr>
      <w:tr w:rsidR="00C23B76" w14:paraId="269DFB20" w14:textId="77777777" w:rsidTr="00216E5A">
        <w:trPr>
          <w:trHeight w:val="225"/>
        </w:trPr>
        <w:tc>
          <w:tcPr>
            <w:tcW w:w="982" w:type="dxa"/>
          </w:tcPr>
          <w:p w14:paraId="269DFB1E" w14:textId="77777777" w:rsidR="00C23B76" w:rsidRDefault="00D65794">
            <w:pPr>
              <w:pStyle w:val="TableParagraph"/>
              <w:spacing w:line="195" w:lineRule="exact"/>
              <w:ind w:left="200"/>
              <w:rPr>
                <w:rFonts w:ascii="Calibri"/>
                <w:sz w:val="16"/>
              </w:rPr>
            </w:pPr>
            <w:r>
              <w:rPr>
                <w:rFonts w:ascii="Calibri"/>
                <w:sz w:val="16"/>
              </w:rPr>
              <w:t>IT</w:t>
            </w:r>
          </w:p>
        </w:tc>
        <w:tc>
          <w:tcPr>
            <w:tcW w:w="5129" w:type="dxa"/>
          </w:tcPr>
          <w:p w14:paraId="269DFB1F" w14:textId="77777777" w:rsidR="00C23B76" w:rsidRDefault="00D65794">
            <w:pPr>
              <w:pStyle w:val="TableParagraph"/>
              <w:spacing w:line="195" w:lineRule="exact"/>
              <w:ind w:left="383"/>
              <w:rPr>
                <w:rFonts w:ascii="Calibri"/>
                <w:sz w:val="16"/>
              </w:rPr>
            </w:pPr>
            <w:r>
              <w:rPr>
                <w:rFonts w:ascii="Calibri"/>
                <w:sz w:val="16"/>
              </w:rPr>
              <w:t>Information and Technology</w:t>
            </w:r>
          </w:p>
        </w:tc>
      </w:tr>
      <w:tr w:rsidR="00C23B76" w14:paraId="269DFB23" w14:textId="77777777" w:rsidTr="00216E5A">
        <w:trPr>
          <w:trHeight w:val="226"/>
        </w:trPr>
        <w:tc>
          <w:tcPr>
            <w:tcW w:w="982" w:type="dxa"/>
          </w:tcPr>
          <w:p w14:paraId="269DFB21" w14:textId="77777777" w:rsidR="00C23B76" w:rsidRDefault="00D65794">
            <w:pPr>
              <w:pStyle w:val="TableParagraph"/>
              <w:ind w:left="200"/>
              <w:rPr>
                <w:rFonts w:ascii="Calibri"/>
                <w:sz w:val="16"/>
              </w:rPr>
            </w:pPr>
            <w:r>
              <w:rPr>
                <w:rFonts w:ascii="Calibri"/>
                <w:sz w:val="16"/>
              </w:rPr>
              <w:t>LDCF</w:t>
            </w:r>
          </w:p>
        </w:tc>
        <w:tc>
          <w:tcPr>
            <w:tcW w:w="5129" w:type="dxa"/>
          </w:tcPr>
          <w:p w14:paraId="269DFB22" w14:textId="77777777" w:rsidR="00C23B76" w:rsidRDefault="00D65794">
            <w:pPr>
              <w:pStyle w:val="TableParagraph"/>
              <w:ind w:left="383"/>
              <w:rPr>
                <w:rFonts w:ascii="Calibri"/>
                <w:sz w:val="16"/>
              </w:rPr>
            </w:pPr>
            <w:r>
              <w:rPr>
                <w:rFonts w:ascii="Calibri"/>
                <w:sz w:val="16"/>
              </w:rPr>
              <w:t>Least Developed Countries fund</w:t>
            </w:r>
          </w:p>
        </w:tc>
      </w:tr>
      <w:tr w:rsidR="00C23B76" w14:paraId="269DFB26" w14:textId="77777777" w:rsidTr="00216E5A">
        <w:trPr>
          <w:trHeight w:val="226"/>
        </w:trPr>
        <w:tc>
          <w:tcPr>
            <w:tcW w:w="982" w:type="dxa"/>
          </w:tcPr>
          <w:p w14:paraId="269DFB24" w14:textId="77777777" w:rsidR="00C23B76" w:rsidRDefault="00D65794">
            <w:pPr>
              <w:pStyle w:val="TableParagraph"/>
              <w:ind w:left="200"/>
              <w:rPr>
                <w:rFonts w:ascii="Calibri"/>
                <w:sz w:val="16"/>
              </w:rPr>
            </w:pPr>
            <w:r>
              <w:rPr>
                <w:rFonts w:ascii="Calibri"/>
                <w:sz w:val="16"/>
              </w:rPr>
              <w:t>LPL</w:t>
            </w:r>
          </w:p>
        </w:tc>
        <w:tc>
          <w:tcPr>
            <w:tcW w:w="5129" w:type="dxa"/>
          </w:tcPr>
          <w:p w14:paraId="269DFB25" w14:textId="77777777" w:rsidR="00C23B76" w:rsidRDefault="00D65794">
            <w:pPr>
              <w:pStyle w:val="TableParagraph"/>
              <w:ind w:left="383"/>
              <w:rPr>
                <w:rFonts w:ascii="Calibri"/>
                <w:sz w:val="16"/>
              </w:rPr>
            </w:pPr>
            <w:r>
              <w:rPr>
                <w:rFonts w:ascii="Calibri"/>
                <w:sz w:val="16"/>
              </w:rPr>
              <w:t>Local Price List</w:t>
            </w:r>
          </w:p>
        </w:tc>
      </w:tr>
      <w:tr w:rsidR="00C23B76" w14:paraId="269DFB29" w14:textId="77777777" w:rsidTr="00216E5A">
        <w:trPr>
          <w:trHeight w:val="225"/>
        </w:trPr>
        <w:tc>
          <w:tcPr>
            <w:tcW w:w="982" w:type="dxa"/>
          </w:tcPr>
          <w:p w14:paraId="269DFB27" w14:textId="77777777" w:rsidR="00C23B76" w:rsidRDefault="00D65794">
            <w:pPr>
              <w:pStyle w:val="TableParagraph"/>
              <w:ind w:left="200"/>
              <w:rPr>
                <w:rFonts w:ascii="Calibri"/>
                <w:sz w:val="16"/>
              </w:rPr>
            </w:pPr>
            <w:r>
              <w:rPr>
                <w:rFonts w:ascii="Calibri"/>
                <w:sz w:val="16"/>
              </w:rPr>
              <w:t>LTA</w:t>
            </w:r>
          </w:p>
        </w:tc>
        <w:tc>
          <w:tcPr>
            <w:tcW w:w="5129" w:type="dxa"/>
          </w:tcPr>
          <w:p w14:paraId="269DFB28" w14:textId="77777777" w:rsidR="00C23B76" w:rsidRDefault="00D65794">
            <w:pPr>
              <w:pStyle w:val="TableParagraph"/>
              <w:ind w:left="383"/>
              <w:rPr>
                <w:rFonts w:ascii="Calibri"/>
                <w:sz w:val="16"/>
              </w:rPr>
            </w:pPr>
            <w:r>
              <w:rPr>
                <w:rFonts w:ascii="Calibri"/>
                <w:sz w:val="16"/>
              </w:rPr>
              <w:t>Long Term Agreement</w:t>
            </w:r>
          </w:p>
        </w:tc>
      </w:tr>
      <w:tr w:rsidR="00C23B76" w14:paraId="269DFB2C" w14:textId="77777777" w:rsidTr="00216E5A">
        <w:trPr>
          <w:trHeight w:val="225"/>
        </w:trPr>
        <w:tc>
          <w:tcPr>
            <w:tcW w:w="982" w:type="dxa"/>
          </w:tcPr>
          <w:p w14:paraId="269DFB2A" w14:textId="77777777" w:rsidR="00C23B76" w:rsidRDefault="00D65794">
            <w:pPr>
              <w:pStyle w:val="TableParagraph"/>
              <w:spacing w:line="195" w:lineRule="exact"/>
              <w:ind w:left="200"/>
              <w:rPr>
                <w:rFonts w:ascii="Calibri"/>
                <w:sz w:val="16"/>
              </w:rPr>
            </w:pPr>
            <w:r>
              <w:rPr>
                <w:rFonts w:ascii="Calibri"/>
                <w:sz w:val="16"/>
              </w:rPr>
              <w:t>MSP</w:t>
            </w:r>
          </w:p>
        </w:tc>
        <w:tc>
          <w:tcPr>
            <w:tcW w:w="5129" w:type="dxa"/>
          </w:tcPr>
          <w:p w14:paraId="269DFB2B" w14:textId="77777777" w:rsidR="00C23B76" w:rsidRDefault="00D65794">
            <w:pPr>
              <w:pStyle w:val="TableParagraph"/>
              <w:spacing w:line="195" w:lineRule="exact"/>
              <w:ind w:left="383"/>
              <w:rPr>
                <w:rFonts w:ascii="Calibri"/>
                <w:sz w:val="16"/>
              </w:rPr>
            </w:pPr>
            <w:r>
              <w:rPr>
                <w:rFonts w:ascii="Calibri"/>
                <w:sz w:val="16"/>
              </w:rPr>
              <w:t>Medium Sized Project</w:t>
            </w:r>
          </w:p>
        </w:tc>
      </w:tr>
      <w:tr w:rsidR="00C23B76" w14:paraId="269DFB2F" w14:textId="77777777" w:rsidTr="00216E5A">
        <w:trPr>
          <w:trHeight w:val="226"/>
        </w:trPr>
        <w:tc>
          <w:tcPr>
            <w:tcW w:w="982" w:type="dxa"/>
          </w:tcPr>
          <w:p w14:paraId="269DFB2D" w14:textId="77777777" w:rsidR="00C23B76" w:rsidRDefault="00D65794">
            <w:pPr>
              <w:pStyle w:val="TableParagraph"/>
              <w:ind w:left="200"/>
              <w:rPr>
                <w:rFonts w:ascii="Calibri"/>
                <w:sz w:val="16"/>
              </w:rPr>
            </w:pPr>
            <w:r>
              <w:rPr>
                <w:rFonts w:ascii="Calibri"/>
                <w:sz w:val="16"/>
              </w:rPr>
              <w:t>NCE</w:t>
            </w:r>
          </w:p>
        </w:tc>
        <w:tc>
          <w:tcPr>
            <w:tcW w:w="5129" w:type="dxa"/>
          </w:tcPr>
          <w:p w14:paraId="269DFB2E" w14:textId="77777777" w:rsidR="00C23B76" w:rsidRDefault="00D65794">
            <w:pPr>
              <w:pStyle w:val="TableParagraph"/>
              <w:ind w:left="383"/>
              <w:rPr>
                <w:rFonts w:ascii="Calibri"/>
                <w:sz w:val="16"/>
              </w:rPr>
            </w:pPr>
            <w:r>
              <w:rPr>
                <w:rFonts w:ascii="Calibri"/>
                <w:sz w:val="16"/>
              </w:rPr>
              <w:t>Nature, Climate and Energy Team</w:t>
            </w:r>
          </w:p>
        </w:tc>
      </w:tr>
      <w:tr w:rsidR="00C23B76" w14:paraId="269DFB32" w14:textId="77777777" w:rsidTr="00216E5A">
        <w:trPr>
          <w:trHeight w:val="226"/>
        </w:trPr>
        <w:tc>
          <w:tcPr>
            <w:tcW w:w="982" w:type="dxa"/>
          </w:tcPr>
          <w:p w14:paraId="269DFB30" w14:textId="77777777" w:rsidR="00C23B76" w:rsidRDefault="00D65794">
            <w:pPr>
              <w:pStyle w:val="TableParagraph"/>
              <w:ind w:left="200"/>
              <w:rPr>
                <w:rFonts w:ascii="Calibri"/>
                <w:sz w:val="16"/>
              </w:rPr>
            </w:pPr>
            <w:r>
              <w:rPr>
                <w:rFonts w:ascii="Calibri"/>
                <w:sz w:val="16"/>
              </w:rPr>
              <w:t>NGO</w:t>
            </w:r>
          </w:p>
        </w:tc>
        <w:tc>
          <w:tcPr>
            <w:tcW w:w="5129" w:type="dxa"/>
          </w:tcPr>
          <w:p w14:paraId="269DFB31" w14:textId="77777777" w:rsidR="00C23B76" w:rsidRDefault="00D65794">
            <w:pPr>
              <w:pStyle w:val="TableParagraph"/>
              <w:ind w:left="383"/>
              <w:rPr>
                <w:rFonts w:ascii="Calibri"/>
                <w:sz w:val="16"/>
              </w:rPr>
            </w:pPr>
            <w:r>
              <w:rPr>
                <w:rFonts w:ascii="Calibri"/>
                <w:sz w:val="16"/>
              </w:rPr>
              <w:t>Non-Governmental Organization</w:t>
            </w:r>
          </w:p>
        </w:tc>
      </w:tr>
      <w:tr w:rsidR="00C23B76" w14:paraId="269DFB35" w14:textId="77777777" w:rsidTr="00216E5A">
        <w:trPr>
          <w:trHeight w:val="225"/>
        </w:trPr>
        <w:tc>
          <w:tcPr>
            <w:tcW w:w="982" w:type="dxa"/>
          </w:tcPr>
          <w:p w14:paraId="269DFB33" w14:textId="77777777" w:rsidR="00C23B76" w:rsidRDefault="00D65794">
            <w:pPr>
              <w:pStyle w:val="TableParagraph"/>
              <w:ind w:left="200"/>
              <w:rPr>
                <w:rFonts w:ascii="Calibri"/>
                <w:sz w:val="16"/>
              </w:rPr>
            </w:pPr>
            <w:r>
              <w:rPr>
                <w:rFonts w:ascii="Calibri"/>
                <w:sz w:val="16"/>
              </w:rPr>
              <w:t>NIM</w:t>
            </w:r>
          </w:p>
        </w:tc>
        <w:tc>
          <w:tcPr>
            <w:tcW w:w="5129" w:type="dxa"/>
          </w:tcPr>
          <w:p w14:paraId="269DFB34" w14:textId="77777777" w:rsidR="00C23B76" w:rsidRDefault="00D65794">
            <w:pPr>
              <w:pStyle w:val="TableParagraph"/>
              <w:ind w:left="383"/>
              <w:rPr>
                <w:rFonts w:ascii="Calibri"/>
                <w:sz w:val="16"/>
              </w:rPr>
            </w:pPr>
            <w:r>
              <w:rPr>
                <w:rFonts w:ascii="Calibri"/>
                <w:sz w:val="16"/>
              </w:rPr>
              <w:t>National Implementation</w:t>
            </w:r>
          </w:p>
        </w:tc>
      </w:tr>
      <w:tr w:rsidR="00C23B76" w14:paraId="269DFB38" w14:textId="77777777" w:rsidTr="00216E5A">
        <w:trPr>
          <w:trHeight w:val="225"/>
        </w:trPr>
        <w:tc>
          <w:tcPr>
            <w:tcW w:w="982" w:type="dxa"/>
          </w:tcPr>
          <w:p w14:paraId="269DFB36" w14:textId="77777777" w:rsidR="00C23B76" w:rsidRDefault="00D65794">
            <w:pPr>
              <w:pStyle w:val="TableParagraph"/>
              <w:spacing w:line="195" w:lineRule="exact"/>
              <w:ind w:left="200"/>
              <w:rPr>
                <w:rFonts w:ascii="Calibri"/>
                <w:sz w:val="16"/>
              </w:rPr>
            </w:pPr>
            <w:r>
              <w:rPr>
                <w:rFonts w:ascii="Calibri"/>
                <w:sz w:val="16"/>
              </w:rPr>
              <w:t>NPIF</w:t>
            </w:r>
          </w:p>
        </w:tc>
        <w:tc>
          <w:tcPr>
            <w:tcW w:w="5129" w:type="dxa"/>
          </w:tcPr>
          <w:p w14:paraId="269DFB37" w14:textId="77777777" w:rsidR="00C23B76" w:rsidRDefault="00D65794">
            <w:pPr>
              <w:pStyle w:val="TableParagraph"/>
              <w:spacing w:line="195" w:lineRule="exact"/>
              <w:ind w:left="383"/>
              <w:rPr>
                <w:rFonts w:ascii="Calibri"/>
                <w:sz w:val="16"/>
              </w:rPr>
            </w:pPr>
            <w:r>
              <w:rPr>
                <w:rFonts w:ascii="Calibri"/>
                <w:sz w:val="16"/>
              </w:rPr>
              <w:t>Nagoya Protocol Implementation Fund</w:t>
            </w:r>
          </w:p>
        </w:tc>
      </w:tr>
      <w:tr w:rsidR="00C23B76" w14:paraId="269DFB3B" w14:textId="77777777" w:rsidTr="00216E5A">
        <w:trPr>
          <w:trHeight w:val="226"/>
        </w:trPr>
        <w:tc>
          <w:tcPr>
            <w:tcW w:w="982" w:type="dxa"/>
          </w:tcPr>
          <w:p w14:paraId="269DFB39" w14:textId="77777777" w:rsidR="00C23B76" w:rsidRDefault="00D65794">
            <w:pPr>
              <w:pStyle w:val="TableParagraph"/>
              <w:ind w:left="200"/>
              <w:rPr>
                <w:rFonts w:ascii="Calibri"/>
                <w:sz w:val="16"/>
              </w:rPr>
            </w:pPr>
            <w:r>
              <w:rPr>
                <w:rFonts w:ascii="Calibri"/>
                <w:sz w:val="16"/>
              </w:rPr>
              <w:t>OFP</w:t>
            </w:r>
          </w:p>
        </w:tc>
        <w:tc>
          <w:tcPr>
            <w:tcW w:w="5129" w:type="dxa"/>
          </w:tcPr>
          <w:p w14:paraId="269DFB3A" w14:textId="77777777" w:rsidR="00C23B76" w:rsidRDefault="00D65794">
            <w:pPr>
              <w:pStyle w:val="TableParagraph"/>
              <w:ind w:left="383"/>
              <w:rPr>
                <w:rFonts w:ascii="Calibri"/>
                <w:sz w:val="16"/>
              </w:rPr>
            </w:pPr>
            <w:r>
              <w:rPr>
                <w:rFonts w:ascii="Calibri"/>
                <w:sz w:val="16"/>
              </w:rPr>
              <w:t>Operational Focal Point</w:t>
            </w:r>
          </w:p>
        </w:tc>
      </w:tr>
      <w:tr w:rsidR="00F811B8" w14:paraId="13D6A8E1" w14:textId="77777777" w:rsidTr="00216E5A">
        <w:trPr>
          <w:trHeight w:val="226"/>
        </w:trPr>
        <w:tc>
          <w:tcPr>
            <w:tcW w:w="982" w:type="dxa"/>
          </w:tcPr>
          <w:p w14:paraId="1F5D48CA" w14:textId="641A1001" w:rsidR="00F811B8" w:rsidRPr="003561EF" w:rsidRDefault="00F811B8">
            <w:pPr>
              <w:pStyle w:val="TableParagraph"/>
              <w:ind w:left="200"/>
              <w:rPr>
                <w:rFonts w:ascii="Calibri"/>
                <w:sz w:val="16"/>
              </w:rPr>
            </w:pPr>
            <w:r w:rsidRPr="003561EF">
              <w:rPr>
                <w:rFonts w:ascii="Calibri"/>
                <w:sz w:val="16"/>
              </w:rPr>
              <w:t>PCAT</w:t>
            </w:r>
          </w:p>
        </w:tc>
        <w:tc>
          <w:tcPr>
            <w:tcW w:w="5129" w:type="dxa"/>
          </w:tcPr>
          <w:p w14:paraId="58BE33D0" w14:textId="3818091D" w:rsidR="00F811B8" w:rsidRPr="003561EF" w:rsidRDefault="001F3220">
            <w:pPr>
              <w:pStyle w:val="TableParagraph"/>
              <w:ind w:left="383"/>
              <w:rPr>
                <w:rFonts w:ascii="Calibri"/>
                <w:sz w:val="16"/>
              </w:rPr>
            </w:pPr>
            <w:r w:rsidRPr="003561EF">
              <w:rPr>
                <w:rFonts w:ascii="Calibri"/>
                <w:sz w:val="16"/>
              </w:rPr>
              <w:t>Partner Capacity Assessment Tool</w:t>
            </w:r>
          </w:p>
        </w:tc>
      </w:tr>
      <w:tr w:rsidR="00C23B76" w14:paraId="269DFB3E" w14:textId="77777777" w:rsidTr="00216E5A">
        <w:trPr>
          <w:trHeight w:val="226"/>
        </w:trPr>
        <w:tc>
          <w:tcPr>
            <w:tcW w:w="982" w:type="dxa"/>
          </w:tcPr>
          <w:p w14:paraId="269DFB3C" w14:textId="77777777" w:rsidR="00C23B76" w:rsidRDefault="00D65794">
            <w:pPr>
              <w:pStyle w:val="TableParagraph"/>
              <w:ind w:left="200"/>
              <w:rPr>
                <w:rFonts w:ascii="Calibri"/>
                <w:sz w:val="16"/>
              </w:rPr>
            </w:pPr>
            <w:r>
              <w:rPr>
                <w:rFonts w:ascii="Calibri"/>
                <w:sz w:val="16"/>
              </w:rPr>
              <w:t>PCMS</w:t>
            </w:r>
          </w:p>
        </w:tc>
        <w:tc>
          <w:tcPr>
            <w:tcW w:w="5129" w:type="dxa"/>
          </w:tcPr>
          <w:p w14:paraId="269DFB3D" w14:textId="77777777" w:rsidR="00C23B76" w:rsidRDefault="00D65794">
            <w:pPr>
              <w:pStyle w:val="TableParagraph"/>
              <w:ind w:left="383"/>
              <w:rPr>
                <w:rFonts w:ascii="Calibri"/>
                <w:sz w:val="16"/>
              </w:rPr>
            </w:pPr>
            <w:r>
              <w:rPr>
                <w:rFonts w:ascii="Calibri"/>
                <w:sz w:val="16"/>
              </w:rPr>
              <w:t>Project Cycle Management Services</w:t>
            </w:r>
          </w:p>
        </w:tc>
      </w:tr>
      <w:tr w:rsidR="00C23B76" w14:paraId="269DFB41" w14:textId="77777777" w:rsidTr="00216E5A">
        <w:trPr>
          <w:trHeight w:val="225"/>
        </w:trPr>
        <w:tc>
          <w:tcPr>
            <w:tcW w:w="982" w:type="dxa"/>
          </w:tcPr>
          <w:p w14:paraId="269DFB3F" w14:textId="77777777" w:rsidR="00C23B76" w:rsidRDefault="00D65794">
            <w:pPr>
              <w:pStyle w:val="TableParagraph"/>
              <w:ind w:left="200"/>
              <w:rPr>
                <w:rFonts w:ascii="Calibri"/>
                <w:sz w:val="16"/>
              </w:rPr>
            </w:pPr>
            <w:r>
              <w:rPr>
                <w:rFonts w:ascii="Calibri"/>
                <w:sz w:val="16"/>
              </w:rPr>
              <w:t>PFD</w:t>
            </w:r>
          </w:p>
        </w:tc>
        <w:tc>
          <w:tcPr>
            <w:tcW w:w="5129" w:type="dxa"/>
          </w:tcPr>
          <w:p w14:paraId="269DFB40" w14:textId="77777777" w:rsidR="00C23B76" w:rsidRDefault="00D65794">
            <w:pPr>
              <w:pStyle w:val="TableParagraph"/>
              <w:ind w:left="383"/>
              <w:rPr>
                <w:rFonts w:ascii="Calibri"/>
                <w:sz w:val="16"/>
              </w:rPr>
            </w:pPr>
            <w:r>
              <w:rPr>
                <w:rFonts w:ascii="Calibri"/>
                <w:sz w:val="16"/>
              </w:rPr>
              <w:t>Program Framework Document</w:t>
            </w:r>
          </w:p>
        </w:tc>
      </w:tr>
      <w:tr w:rsidR="00C23B76" w14:paraId="269DFB44" w14:textId="77777777" w:rsidTr="00216E5A">
        <w:trPr>
          <w:trHeight w:val="225"/>
        </w:trPr>
        <w:tc>
          <w:tcPr>
            <w:tcW w:w="982" w:type="dxa"/>
          </w:tcPr>
          <w:p w14:paraId="269DFB42" w14:textId="77777777" w:rsidR="00C23B76" w:rsidRDefault="00D65794">
            <w:pPr>
              <w:pStyle w:val="TableParagraph"/>
              <w:spacing w:line="195" w:lineRule="exact"/>
              <w:ind w:left="200"/>
              <w:rPr>
                <w:rFonts w:ascii="Calibri"/>
                <w:sz w:val="16"/>
              </w:rPr>
            </w:pPr>
            <w:r>
              <w:rPr>
                <w:rFonts w:ascii="Calibri"/>
                <w:sz w:val="16"/>
              </w:rPr>
              <w:t>PIF</w:t>
            </w:r>
          </w:p>
        </w:tc>
        <w:tc>
          <w:tcPr>
            <w:tcW w:w="5129" w:type="dxa"/>
          </w:tcPr>
          <w:p w14:paraId="269DFB43" w14:textId="77777777" w:rsidR="00C23B76" w:rsidRDefault="00D65794">
            <w:pPr>
              <w:pStyle w:val="TableParagraph"/>
              <w:spacing w:line="195" w:lineRule="exact"/>
              <w:ind w:left="383"/>
              <w:rPr>
                <w:rFonts w:ascii="Calibri"/>
                <w:sz w:val="16"/>
              </w:rPr>
            </w:pPr>
            <w:r>
              <w:rPr>
                <w:rFonts w:ascii="Calibri"/>
                <w:sz w:val="16"/>
              </w:rPr>
              <w:t>Project Identification Form</w:t>
            </w:r>
          </w:p>
        </w:tc>
      </w:tr>
      <w:tr w:rsidR="00C23B76" w14:paraId="269DFB47" w14:textId="77777777" w:rsidTr="00216E5A">
        <w:trPr>
          <w:trHeight w:val="226"/>
        </w:trPr>
        <w:tc>
          <w:tcPr>
            <w:tcW w:w="982" w:type="dxa"/>
          </w:tcPr>
          <w:p w14:paraId="269DFB45" w14:textId="77777777" w:rsidR="00C23B76" w:rsidRDefault="00D65794">
            <w:pPr>
              <w:pStyle w:val="TableParagraph"/>
              <w:ind w:left="200"/>
              <w:rPr>
                <w:rFonts w:ascii="Calibri"/>
                <w:sz w:val="16"/>
              </w:rPr>
            </w:pPr>
            <w:r>
              <w:rPr>
                <w:rFonts w:ascii="Calibri"/>
                <w:sz w:val="16"/>
              </w:rPr>
              <w:t>PMC</w:t>
            </w:r>
          </w:p>
        </w:tc>
        <w:tc>
          <w:tcPr>
            <w:tcW w:w="5129" w:type="dxa"/>
          </w:tcPr>
          <w:p w14:paraId="269DFB46" w14:textId="77777777" w:rsidR="00C23B76" w:rsidRDefault="00D65794">
            <w:pPr>
              <w:pStyle w:val="TableParagraph"/>
              <w:ind w:left="383"/>
              <w:rPr>
                <w:rFonts w:ascii="Calibri"/>
                <w:sz w:val="16"/>
              </w:rPr>
            </w:pPr>
            <w:r>
              <w:rPr>
                <w:rFonts w:ascii="Calibri"/>
                <w:sz w:val="16"/>
              </w:rPr>
              <w:t>Project Management Cost</w:t>
            </w:r>
          </w:p>
        </w:tc>
      </w:tr>
      <w:tr w:rsidR="00C23B76" w14:paraId="269DFB4A" w14:textId="77777777" w:rsidTr="00216E5A">
        <w:trPr>
          <w:trHeight w:val="226"/>
        </w:trPr>
        <w:tc>
          <w:tcPr>
            <w:tcW w:w="982" w:type="dxa"/>
          </w:tcPr>
          <w:p w14:paraId="269DFB48" w14:textId="77777777" w:rsidR="00C23B76" w:rsidRDefault="00D65794">
            <w:pPr>
              <w:pStyle w:val="TableParagraph"/>
              <w:ind w:left="200"/>
              <w:rPr>
                <w:rFonts w:ascii="Calibri"/>
                <w:sz w:val="16"/>
              </w:rPr>
            </w:pPr>
            <w:r>
              <w:rPr>
                <w:rFonts w:ascii="Calibri"/>
                <w:sz w:val="16"/>
              </w:rPr>
              <w:t>PMU</w:t>
            </w:r>
          </w:p>
        </w:tc>
        <w:tc>
          <w:tcPr>
            <w:tcW w:w="5129" w:type="dxa"/>
          </w:tcPr>
          <w:p w14:paraId="269DFB49" w14:textId="77777777" w:rsidR="00C23B76" w:rsidRDefault="00D65794">
            <w:pPr>
              <w:pStyle w:val="TableParagraph"/>
              <w:ind w:left="383"/>
              <w:rPr>
                <w:rFonts w:ascii="Calibri"/>
                <w:sz w:val="16"/>
              </w:rPr>
            </w:pPr>
            <w:r>
              <w:rPr>
                <w:rFonts w:ascii="Calibri"/>
                <w:sz w:val="16"/>
              </w:rPr>
              <w:t>Project Management Unit</w:t>
            </w:r>
          </w:p>
        </w:tc>
      </w:tr>
      <w:tr w:rsidR="00C23B76" w14:paraId="269DFB4D" w14:textId="77777777" w:rsidTr="00216E5A">
        <w:trPr>
          <w:trHeight w:val="225"/>
        </w:trPr>
        <w:tc>
          <w:tcPr>
            <w:tcW w:w="982" w:type="dxa"/>
          </w:tcPr>
          <w:p w14:paraId="269DFB4B" w14:textId="77777777" w:rsidR="00C23B76" w:rsidRDefault="00D65794">
            <w:pPr>
              <w:pStyle w:val="TableParagraph"/>
              <w:spacing w:before="1"/>
              <w:ind w:left="200"/>
              <w:rPr>
                <w:rFonts w:ascii="Calibri"/>
                <w:sz w:val="16"/>
              </w:rPr>
            </w:pPr>
            <w:r>
              <w:rPr>
                <w:rFonts w:ascii="Calibri"/>
                <w:sz w:val="16"/>
              </w:rPr>
              <w:t>POPP</w:t>
            </w:r>
          </w:p>
        </w:tc>
        <w:tc>
          <w:tcPr>
            <w:tcW w:w="5129" w:type="dxa"/>
          </w:tcPr>
          <w:p w14:paraId="269DFB4C" w14:textId="77777777" w:rsidR="00C23B76" w:rsidRDefault="00D65794">
            <w:pPr>
              <w:pStyle w:val="TableParagraph"/>
              <w:spacing w:before="1"/>
              <w:ind w:left="383"/>
              <w:rPr>
                <w:rFonts w:ascii="Calibri"/>
                <w:sz w:val="16"/>
              </w:rPr>
            </w:pPr>
            <w:r>
              <w:rPr>
                <w:rFonts w:ascii="Calibri"/>
                <w:sz w:val="16"/>
              </w:rPr>
              <w:t>Programme and Operations Policies and Procedures</w:t>
            </w:r>
          </w:p>
        </w:tc>
      </w:tr>
      <w:tr w:rsidR="00C23B76" w14:paraId="269DFB50" w14:textId="77777777" w:rsidTr="00216E5A">
        <w:trPr>
          <w:trHeight w:val="225"/>
        </w:trPr>
        <w:tc>
          <w:tcPr>
            <w:tcW w:w="982" w:type="dxa"/>
          </w:tcPr>
          <w:p w14:paraId="269DFB4E" w14:textId="77777777" w:rsidR="00C23B76" w:rsidRDefault="00D65794">
            <w:pPr>
              <w:pStyle w:val="TableParagraph"/>
              <w:spacing w:line="195" w:lineRule="exact"/>
              <w:ind w:left="200"/>
              <w:rPr>
                <w:rFonts w:ascii="Calibri"/>
                <w:sz w:val="16"/>
              </w:rPr>
            </w:pPr>
            <w:r>
              <w:rPr>
                <w:rFonts w:ascii="Calibri"/>
                <w:sz w:val="16"/>
              </w:rPr>
              <w:t>PPG</w:t>
            </w:r>
          </w:p>
        </w:tc>
        <w:tc>
          <w:tcPr>
            <w:tcW w:w="5129" w:type="dxa"/>
          </w:tcPr>
          <w:p w14:paraId="269DFB4F" w14:textId="77777777" w:rsidR="00C23B76" w:rsidRDefault="00D65794">
            <w:pPr>
              <w:pStyle w:val="TableParagraph"/>
              <w:spacing w:line="195" w:lineRule="exact"/>
              <w:ind w:left="383"/>
              <w:rPr>
                <w:rFonts w:ascii="Calibri"/>
                <w:sz w:val="16"/>
              </w:rPr>
            </w:pPr>
            <w:r>
              <w:rPr>
                <w:rFonts w:ascii="Calibri"/>
                <w:sz w:val="16"/>
              </w:rPr>
              <w:t>Project Preparation Grant</w:t>
            </w:r>
          </w:p>
        </w:tc>
      </w:tr>
      <w:tr w:rsidR="00C23B76" w14:paraId="269DFB53" w14:textId="77777777" w:rsidTr="00216E5A">
        <w:trPr>
          <w:trHeight w:val="226"/>
        </w:trPr>
        <w:tc>
          <w:tcPr>
            <w:tcW w:w="982" w:type="dxa"/>
          </w:tcPr>
          <w:p w14:paraId="269DFB51" w14:textId="77777777" w:rsidR="00C23B76" w:rsidRDefault="00D65794">
            <w:pPr>
              <w:pStyle w:val="TableParagraph"/>
              <w:ind w:left="200"/>
              <w:rPr>
                <w:rFonts w:ascii="Calibri"/>
                <w:sz w:val="16"/>
              </w:rPr>
            </w:pPr>
            <w:r>
              <w:rPr>
                <w:rFonts w:ascii="Calibri"/>
                <w:sz w:val="16"/>
              </w:rPr>
              <w:t>RR</w:t>
            </w:r>
          </w:p>
        </w:tc>
        <w:tc>
          <w:tcPr>
            <w:tcW w:w="5129" w:type="dxa"/>
          </w:tcPr>
          <w:p w14:paraId="269DFB52" w14:textId="77777777" w:rsidR="00C23B76" w:rsidRDefault="00D65794">
            <w:pPr>
              <w:pStyle w:val="TableParagraph"/>
              <w:ind w:left="383"/>
              <w:rPr>
                <w:rFonts w:ascii="Calibri"/>
                <w:sz w:val="16"/>
              </w:rPr>
            </w:pPr>
            <w:r>
              <w:rPr>
                <w:rFonts w:ascii="Calibri"/>
                <w:sz w:val="16"/>
              </w:rPr>
              <w:t>Resident Representative</w:t>
            </w:r>
          </w:p>
        </w:tc>
      </w:tr>
      <w:tr w:rsidR="00C23B76" w14:paraId="269DFB56" w14:textId="77777777" w:rsidTr="00216E5A">
        <w:trPr>
          <w:trHeight w:val="226"/>
        </w:trPr>
        <w:tc>
          <w:tcPr>
            <w:tcW w:w="982" w:type="dxa"/>
          </w:tcPr>
          <w:p w14:paraId="269DFB54" w14:textId="77777777" w:rsidR="00C23B76" w:rsidRDefault="00D65794">
            <w:pPr>
              <w:pStyle w:val="TableParagraph"/>
              <w:ind w:left="200"/>
              <w:rPr>
                <w:rFonts w:ascii="Calibri"/>
                <w:sz w:val="16"/>
              </w:rPr>
            </w:pPr>
            <w:r>
              <w:rPr>
                <w:rFonts w:ascii="Calibri"/>
                <w:sz w:val="16"/>
              </w:rPr>
              <w:t>SCCF</w:t>
            </w:r>
          </w:p>
        </w:tc>
        <w:tc>
          <w:tcPr>
            <w:tcW w:w="5129" w:type="dxa"/>
          </w:tcPr>
          <w:p w14:paraId="269DFB55" w14:textId="77777777" w:rsidR="00C23B76" w:rsidRDefault="00D65794">
            <w:pPr>
              <w:pStyle w:val="TableParagraph"/>
              <w:ind w:left="383"/>
              <w:rPr>
                <w:rFonts w:ascii="Calibri"/>
                <w:sz w:val="16"/>
              </w:rPr>
            </w:pPr>
            <w:r>
              <w:rPr>
                <w:rFonts w:ascii="Calibri"/>
                <w:sz w:val="16"/>
              </w:rPr>
              <w:t>Special Climate Change Fund</w:t>
            </w:r>
          </w:p>
        </w:tc>
      </w:tr>
      <w:tr w:rsidR="00C23B76" w14:paraId="269DFB59" w14:textId="77777777" w:rsidTr="00216E5A">
        <w:trPr>
          <w:trHeight w:val="225"/>
        </w:trPr>
        <w:tc>
          <w:tcPr>
            <w:tcW w:w="982" w:type="dxa"/>
          </w:tcPr>
          <w:p w14:paraId="269DFB57" w14:textId="77777777" w:rsidR="00C23B76" w:rsidRDefault="00D65794">
            <w:pPr>
              <w:pStyle w:val="TableParagraph"/>
              <w:ind w:left="200"/>
              <w:rPr>
                <w:rFonts w:ascii="Calibri"/>
                <w:sz w:val="16"/>
              </w:rPr>
            </w:pPr>
            <w:r>
              <w:rPr>
                <w:rFonts w:ascii="Calibri"/>
                <w:sz w:val="16"/>
              </w:rPr>
              <w:t>SOP</w:t>
            </w:r>
          </w:p>
        </w:tc>
        <w:tc>
          <w:tcPr>
            <w:tcW w:w="5129" w:type="dxa"/>
          </w:tcPr>
          <w:p w14:paraId="269DFB58" w14:textId="77777777" w:rsidR="00C23B76" w:rsidRDefault="00D65794">
            <w:pPr>
              <w:pStyle w:val="TableParagraph"/>
              <w:ind w:left="383"/>
              <w:rPr>
                <w:rFonts w:ascii="Calibri"/>
                <w:sz w:val="16"/>
              </w:rPr>
            </w:pPr>
            <w:r>
              <w:rPr>
                <w:rFonts w:ascii="Calibri"/>
                <w:sz w:val="16"/>
              </w:rPr>
              <w:t>Standard Operating Procedures</w:t>
            </w:r>
          </w:p>
        </w:tc>
      </w:tr>
      <w:tr w:rsidR="00C23B76" w14:paraId="269DFB5C" w14:textId="77777777" w:rsidTr="00216E5A">
        <w:trPr>
          <w:trHeight w:val="225"/>
        </w:trPr>
        <w:tc>
          <w:tcPr>
            <w:tcW w:w="982" w:type="dxa"/>
          </w:tcPr>
          <w:p w14:paraId="269DFB5A" w14:textId="77777777" w:rsidR="00C23B76" w:rsidRDefault="00D65794">
            <w:pPr>
              <w:pStyle w:val="TableParagraph"/>
              <w:spacing w:line="195" w:lineRule="exact"/>
              <w:ind w:left="200"/>
              <w:rPr>
                <w:rFonts w:ascii="Calibri"/>
                <w:sz w:val="16"/>
              </w:rPr>
            </w:pPr>
            <w:r>
              <w:rPr>
                <w:rFonts w:ascii="Calibri"/>
                <w:sz w:val="16"/>
              </w:rPr>
              <w:t>STAP</w:t>
            </w:r>
          </w:p>
        </w:tc>
        <w:tc>
          <w:tcPr>
            <w:tcW w:w="5129" w:type="dxa"/>
          </w:tcPr>
          <w:p w14:paraId="269DFB5B" w14:textId="77777777" w:rsidR="00C23B76" w:rsidRDefault="00D65794">
            <w:pPr>
              <w:pStyle w:val="TableParagraph"/>
              <w:spacing w:line="195" w:lineRule="exact"/>
              <w:ind w:left="383"/>
              <w:rPr>
                <w:rFonts w:ascii="Calibri"/>
                <w:sz w:val="16"/>
              </w:rPr>
            </w:pPr>
            <w:r>
              <w:rPr>
                <w:rFonts w:ascii="Calibri"/>
                <w:sz w:val="16"/>
              </w:rPr>
              <w:t>Scientific and Technical Advisory Panel</w:t>
            </w:r>
          </w:p>
        </w:tc>
      </w:tr>
      <w:tr w:rsidR="00C23B76" w14:paraId="269DFB5F" w14:textId="77777777" w:rsidTr="00216E5A">
        <w:trPr>
          <w:trHeight w:val="226"/>
        </w:trPr>
        <w:tc>
          <w:tcPr>
            <w:tcW w:w="982" w:type="dxa"/>
          </w:tcPr>
          <w:p w14:paraId="269DFB5D" w14:textId="77777777" w:rsidR="00C23B76" w:rsidRDefault="00D65794">
            <w:pPr>
              <w:pStyle w:val="TableParagraph"/>
              <w:ind w:left="200"/>
              <w:rPr>
                <w:rFonts w:ascii="Calibri"/>
                <w:sz w:val="16"/>
              </w:rPr>
            </w:pPr>
            <w:r>
              <w:rPr>
                <w:rFonts w:ascii="Calibri"/>
                <w:sz w:val="16"/>
              </w:rPr>
              <w:t>TBWP</w:t>
            </w:r>
          </w:p>
        </w:tc>
        <w:tc>
          <w:tcPr>
            <w:tcW w:w="5129" w:type="dxa"/>
          </w:tcPr>
          <w:p w14:paraId="269DFB5E" w14:textId="77777777" w:rsidR="00C23B76" w:rsidRDefault="00D65794">
            <w:pPr>
              <w:pStyle w:val="TableParagraph"/>
              <w:ind w:left="383"/>
              <w:rPr>
                <w:rFonts w:ascii="Calibri"/>
                <w:sz w:val="16"/>
              </w:rPr>
            </w:pPr>
            <w:r>
              <w:rPr>
                <w:rFonts w:ascii="Calibri"/>
                <w:sz w:val="16"/>
              </w:rPr>
              <w:t>Total Budget Work Plan</w:t>
            </w:r>
          </w:p>
        </w:tc>
      </w:tr>
      <w:tr w:rsidR="00C23B76" w14:paraId="269DFB62" w14:textId="77777777" w:rsidTr="00216E5A">
        <w:trPr>
          <w:trHeight w:val="226"/>
        </w:trPr>
        <w:tc>
          <w:tcPr>
            <w:tcW w:w="982" w:type="dxa"/>
          </w:tcPr>
          <w:p w14:paraId="269DFB60" w14:textId="77777777" w:rsidR="00C23B76" w:rsidRDefault="00D65794">
            <w:pPr>
              <w:pStyle w:val="TableParagraph"/>
              <w:ind w:left="200"/>
              <w:rPr>
                <w:rFonts w:ascii="Calibri"/>
                <w:sz w:val="16"/>
              </w:rPr>
            </w:pPr>
            <w:r>
              <w:rPr>
                <w:rFonts w:ascii="Calibri"/>
                <w:sz w:val="16"/>
              </w:rPr>
              <w:t>TOR</w:t>
            </w:r>
          </w:p>
        </w:tc>
        <w:tc>
          <w:tcPr>
            <w:tcW w:w="5129" w:type="dxa"/>
          </w:tcPr>
          <w:p w14:paraId="269DFB61" w14:textId="77777777" w:rsidR="00C23B76" w:rsidRDefault="00D65794">
            <w:pPr>
              <w:pStyle w:val="TableParagraph"/>
              <w:ind w:left="383"/>
              <w:rPr>
                <w:rFonts w:ascii="Calibri"/>
                <w:sz w:val="16"/>
              </w:rPr>
            </w:pPr>
            <w:r>
              <w:rPr>
                <w:rFonts w:ascii="Calibri"/>
                <w:sz w:val="16"/>
              </w:rPr>
              <w:t>Terms of Reference</w:t>
            </w:r>
          </w:p>
        </w:tc>
      </w:tr>
      <w:tr w:rsidR="00C23B76" w14:paraId="269DFB65" w14:textId="77777777" w:rsidTr="00216E5A">
        <w:trPr>
          <w:trHeight w:val="225"/>
        </w:trPr>
        <w:tc>
          <w:tcPr>
            <w:tcW w:w="982" w:type="dxa"/>
          </w:tcPr>
          <w:p w14:paraId="269DFB63" w14:textId="77777777" w:rsidR="00C23B76" w:rsidRDefault="00D65794">
            <w:pPr>
              <w:pStyle w:val="TableParagraph"/>
              <w:ind w:left="200"/>
              <w:rPr>
                <w:rFonts w:ascii="Calibri"/>
                <w:sz w:val="16"/>
              </w:rPr>
            </w:pPr>
            <w:r>
              <w:rPr>
                <w:rFonts w:ascii="Calibri"/>
                <w:sz w:val="16"/>
              </w:rPr>
              <w:t>UNDP</w:t>
            </w:r>
          </w:p>
        </w:tc>
        <w:tc>
          <w:tcPr>
            <w:tcW w:w="5129" w:type="dxa"/>
          </w:tcPr>
          <w:p w14:paraId="269DFB64" w14:textId="77777777" w:rsidR="00C23B76" w:rsidRDefault="00D65794">
            <w:pPr>
              <w:pStyle w:val="TableParagraph"/>
              <w:ind w:left="383"/>
              <w:rPr>
                <w:rFonts w:ascii="Calibri"/>
                <w:sz w:val="16"/>
              </w:rPr>
            </w:pPr>
            <w:r>
              <w:rPr>
                <w:rFonts w:ascii="Calibri"/>
                <w:sz w:val="16"/>
              </w:rPr>
              <w:t>United Nations Development Programme</w:t>
            </w:r>
          </w:p>
        </w:tc>
      </w:tr>
      <w:tr w:rsidR="00C23B76" w14:paraId="269DFB68" w14:textId="77777777" w:rsidTr="00216E5A">
        <w:trPr>
          <w:trHeight w:val="225"/>
        </w:trPr>
        <w:tc>
          <w:tcPr>
            <w:tcW w:w="982" w:type="dxa"/>
          </w:tcPr>
          <w:p w14:paraId="269DFB66" w14:textId="77777777" w:rsidR="00C23B76" w:rsidRDefault="00D65794">
            <w:pPr>
              <w:pStyle w:val="TableParagraph"/>
              <w:spacing w:line="195" w:lineRule="exact"/>
              <w:ind w:left="200"/>
              <w:rPr>
                <w:rFonts w:ascii="Calibri"/>
                <w:sz w:val="16"/>
              </w:rPr>
            </w:pPr>
            <w:r>
              <w:rPr>
                <w:rFonts w:ascii="Calibri"/>
                <w:sz w:val="16"/>
              </w:rPr>
              <w:t>UPL</w:t>
            </w:r>
          </w:p>
        </w:tc>
        <w:tc>
          <w:tcPr>
            <w:tcW w:w="5129" w:type="dxa"/>
          </w:tcPr>
          <w:p w14:paraId="269DFB67" w14:textId="77777777" w:rsidR="00C23B76" w:rsidRDefault="00D65794">
            <w:pPr>
              <w:pStyle w:val="TableParagraph"/>
              <w:spacing w:line="195" w:lineRule="exact"/>
              <w:ind w:left="383"/>
              <w:rPr>
                <w:rFonts w:ascii="Calibri"/>
                <w:sz w:val="16"/>
              </w:rPr>
            </w:pPr>
            <w:r>
              <w:rPr>
                <w:rFonts w:ascii="Calibri"/>
                <w:sz w:val="16"/>
              </w:rPr>
              <w:t>Universal Price List</w:t>
            </w:r>
          </w:p>
        </w:tc>
      </w:tr>
      <w:tr w:rsidR="00C23B76" w14:paraId="269DFB6B" w14:textId="77777777" w:rsidTr="00216E5A">
        <w:trPr>
          <w:trHeight w:val="226"/>
        </w:trPr>
        <w:tc>
          <w:tcPr>
            <w:tcW w:w="982" w:type="dxa"/>
          </w:tcPr>
          <w:p w14:paraId="269DFB69" w14:textId="77777777" w:rsidR="00C23B76" w:rsidRDefault="00D65794">
            <w:pPr>
              <w:pStyle w:val="TableParagraph"/>
              <w:ind w:left="200"/>
              <w:rPr>
                <w:rFonts w:ascii="Calibri"/>
                <w:sz w:val="16"/>
              </w:rPr>
            </w:pPr>
            <w:r>
              <w:rPr>
                <w:rFonts w:ascii="Calibri"/>
                <w:sz w:val="16"/>
              </w:rPr>
              <w:t>VF</w:t>
            </w:r>
          </w:p>
        </w:tc>
        <w:tc>
          <w:tcPr>
            <w:tcW w:w="5129" w:type="dxa"/>
          </w:tcPr>
          <w:p w14:paraId="269DFB6A" w14:textId="77777777" w:rsidR="00C23B76" w:rsidRDefault="00D65794">
            <w:pPr>
              <w:pStyle w:val="TableParagraph"/>
              <w:ind w:left="383"/>
              <w:rPr>
                <w:rFonts w:ascii="Calibri"/>
                <w:sz w:val="16"/>
              </w:rPr>
            </w:pPr>
            <w:r>
              <w:rPr>
                <w:rFonts w:ascii="Calibri"/>
                <w:sz w:val="16"/>
              </w:rPr>
              <w:t>Vertical Fund</w:t>
            </w:r>
          </w:p>
        </w:tc>
      </w:tr>
      <w:tr w:rsidR="00C23B76" w14:paraId="269DFB6E" w14:textId="77777777" w:rsidTr="00216E5A">
        <w:trPr>
          <w:trHeight w:val="194"/>
        </w:trPr>
        <w:tc>
          <w:tcPr>
            <w:tcW w:w="982" w:type="dxa"/>
          </w:tcPr>
          <w:p w14:paraId="269DFB6C" w14:textId="77777777" w:rsidR="00C23B76" w:rsidRDefault="00D65794">
            <w:pPr>
              <w:pStyle w:val="TableParagraph"/>
              <w:spacing w:line="173" w:lineRule="exact"/>
              <w:ind w:left="200"/>
              <w:rPr>
                <w:rFonts w:ascii="Calibri"/>
                <w:sz w:val="16"/>
              </w:rPr>
            </w:pPr>
            <w:r>
              <w:rPr>
                <w:rFonts w:ascii="Calibri"/>
                <w:sz w:val="16"/>
              </w:rPr>
              <w:t>XB</w:t>
            </w:r>
          </w:p>
        </w:tc>
        <w:tc>
          <w:tcPr>
            <w:tcW w:w="5129" w:type="dxa"/>
          </w:tcPr>
          <w:p w14:paraId="269DFB6D" w14:textId="77777777" w:rsidR="00C23B76" w:rsidRDefault="00D65794">
            <w:pPr>
              <w:pStyle w:val="TableParagraph"/>
              <w:spacing w:line="173" w:lineRule="exact"/>
              <w:ind w:left="383"/>
              <w:rPr>
                <w:rFonts w:ascii="Calibri"/>
                <w:sz w:val="16"/>
              </w:rPr>
            </w:pPr>
            <w:r>
              <w:rPr>
                <w:rFonts w:ascii="Calibri"/>
                <w:sz w:val="16"/>
              </w:rPr>
              <w:t>Extra-Budgetary</w:t>
            </w:r>
          </w:p>
        </w:tc>
      </w:tr>
    </w:tbl>
    <w:p w14:paraId="5DACA7D1" w14:textId="29E15BCB" w:rsidR="00C4416E" w:rsidRPr="00C4416E" w:rsidRDefault="00C4416E" w:rsidP="00C4416E">
      <w:pPr>
        <w:tabs>
          <w:tab w:val="left" w:pos="2304"/>
        </w:tabs>
      </w:pPr>
    </w:p>
    <w:sectPr w:rsidR="00C4416E" w:rsidRPr="00C4416E">
      <w:headerReference w:type="default" r:id="rId41"/>
      <w:footerReference w:type="default" r:id="rId42"/>
      <w:pgSz w:w="12240" w:h="15840"/>
      <w:pgMar w:top="1340" w:right="1320" w:bottom="1540" w:left="1340" w:header="182" w:footer="1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E5AD" w14:textId="77777777" w:rsidR="00E52487" w:rsidRDefault="00E52487">
      <w:r>
        <w:separator/>
      </w:r>
    </w:p>
  </w:endnote>
  <w:endnote w:type="continuationSeparator" w:id="0">
    <w:p w14:paraId="038ADE21" w14:textId="77777777" w:rsidR="00E52487" w:rsidRDefault="00E5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B7C" w14:textId="55944EBA" w:rsidR="00FA76E7" w:rsidRDefault="00FA76E7">
    <w:pPr>
      <w:pStyle w:val="BodyText"/>
      <w:spacing w:line="14" w:lineRule="auto"/>
      <w:rPr>
        <w:sz w:val="20"/>
      </w:rPr>
    </w:pPr>
    <w:r>
      <w:rPr>
        <w:noProof/>
      </w:rPr>
      <mc:AlternateContent>
        <mc:Choice Requires="wps">
          <w:drawing>
            <wp:anchor distT="0" distB="0" distL="114300" distR="114300" simplePos="0" relativeHeight="250644480" behindDoc="1" locked="0" layoutInCell="1" allowOverlap="1" wp14:anchorId="269DFB87" wp14:editId="708C6890">
              <wp:simplePos x="0" y="0"/>
              <wp:positionH relativeFrom="page">
                <wp:posOffset>6821170</wp:posOffset>
              </wp:positionH>
              <wp:positionV relativeFrom="page">
                <wp:posOffset>9241790</wp:posOffset>
              </wp:positionV>
              <wp:extent cx="152400" cy="1943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FB9B" w14:textId="77777777" w:rsidR="00FA76E7" w:rsidRDefault="00FA76E7">
                          <w:pPr>
                            <w:spacing w:before="10"/>
                            <w:ind w:left="6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9DFB87" id="_x0000_t202" coordsize="21600,21600" o:spt="202" path="m,l,21600r21600,l21600,xe">
              <v:stroke joinstyle="miter"/>
              <v:path gradientshapeok="t" o:connecttype="rect"/>
            </v:shapetype>
            <v:shape id="Text Box 13" o:spid="_x0000_s1028" type="#_x0000_t202" style="position:absolute;margin-left:537.1pt;margin-top:727.7pt;width:12pt;height:15.3pt;z-index:-2526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" filled="f" stroked="f">
              <v:textbox inset="0,0,0,0">
                <w:txbxContent>
                  <w:p w14:paraId="269DFB9B" w14:textId="77777777" w:rsidR="00FA76E7" w:rsidRDefault="00FA76E7">
                    <w:pPr>
                      <w:spacing w:before="10"/>
                      <w:ind w:left="6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B7E" w14:textId="6807E359" w:rsidR="00FA76E7" w:rsidRDefault="00FA76E7">
    <w:pPr>
      <w:pStyle w:val="BodyText"/>
      <w:spacing w:line="14" w:lineRule="auto"/>
      <w:rPr>
        <w:sz w:val="20"/>
      </w:rPr>
    </w:pPr>
    <w:r>
      <w:rPr>
        <w:noProof/>
      </w:rPr>
      <mc:AlternateContent>
        <mc:Choice Requires="wps">
          <w:drawing>
            <wp:anchor distT="0" distB="0" distL="114300" distR="114300" simplePos="0" relativeHeight="250646528" behindDoc="1" locked="0" layoutInCell="1" allowOverlap="1" wp14:anchorId="269DFB89" wp14:editId="20BC0491">
              <wp:simplePos x="0" y="0"/>
              <wp:positionH relativeFrom="page">
                <wp:posOffset>6846570</wp:posOffset>
              </wp:positionH>
              <wp:positionV relativeFrom="page">
                <wp:posOffset>9066530</wp:posOffset>
              </wp:positionV>
              <wp:extent cx="101600" cy="1943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FB9D" w14:textId="77777777" w:rsidR="00FA76E7" w:rsidRDefault="00FA76E7">
                          <w:pPr>
                            <w:spacing w:before="10"/>
                            <w:ind w:left="20"/>
                            <w:rPr>
                              <w:rFonts w:ascii="Times New Roman"/>
                              <w:sz w:val="24"/>
                            </w:rPr>
                          </w:pPr>
                          <w:r>
                            <w:rPr>
                              <w:rFonts w:ascii="Times New Roman"/>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9DFB89" id="_x0000_t202" coordsize="21600,21600" o:spt="202" path="m,l,21600r21600,l21600,xe">
              <v:stroke joinstyle="miter"/>
              <v:path gradientshapeok="t" o:connecttype="rect"/>
            </v:shapetype>
            <v:shape id="Text Box 11" o:spid="_x0000_s1029" type="#_x0000_t202" style="position:absolute;margin-left:539.1pt;margin-top:713.9pt;width:8pt;height:15.3pt;z-index:-2526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" filled="f" stroked="f">
              <v:textbox inset="0,0,0,0">
                <w:txbxContent>
                  <w:p w14:paraId="269DFB9D" w14:textId="77777777" w:rsidR="00FA76E7" w:rsidRDefault="00FA76E7">
                    <w:pPr>
                      <w:spacing w:before="10"/>
                      <w:ind w:left="20"/>
                      <w:rPr>
                        <w:rFonts w:ascii="Times New Roman"/>
                        <w:sz w:val="24"/>
                      </w:rPr>
                    </w:pPr>
                    <w:r>
                      <w:rPr>
                        <w:rFonts w:ascii="Times New Roman"/>
                        <w:sz w:val="24"/>
                      </w:rPr>
                      <w:t>1</w:t>
                    </w:r>
                  </w:p>
                </w:txbxContent>
              </v:textbox>
              <w10:wrap anchorx="page" anchory="page"/>
            </v:shape>
          </w:pict>
        </mc:Fallback>
      </mc:AlternateContent>
    </w:r>
    <w:r>
      <w:rPr>
        <w:noProof/>
      </w:rPr>
      <mc:AlternateContent>
        <mc:Choice Requires="wps">
          <w:drawing>
            <wp:anchor distT="0" distB="0" distL="114300" distR="114300" simplePos="0" relativeHeight="250647552" behindDoc="1" locked="0" layoutInCell="1" allowOverlap="1" wp14:anchorId="269DFB8A" wp14:editId="7E2606D8">
              <wp:simplePos x="0" y="0"/>
              <wp:positionH relativeFrom="page">
                <wp:posOffset>3874135</wp:posOffset>
              </wp:positionH>
              <wp:positionV relativeFrom="page">
                <wp:posOffset>9241790</wp:posOffset>
              </wp:positionV>
              <wp:extent cx="101600" cy="1943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FB9E" w14:textId="77777777" w:rsidR="00FA76E7" w:rsidRDefault="00FA76E7">
                          <w:pPr>
                            <w:spacing w:before="10"/>
                            <w:ind w:left="20"/>
                            <w:rPr>
                              <w:rFonts w:ascii="Times New Roman"/>
                              <w:sz w:val="24"/>
                            </w:rPr>
                          </w:pPr>
                          <w:r>
                            <w:rPr>
                              <w:rFonts w:ascii="Times New Roman"/>
                              <w:sz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9DFB8A" id="Text Box 10" o:spid="_x0000_s1030" type="#_x0000_t202" style="position:absolute;margin-left:305.05pt;margin-top:727.7pt;width:8pt;height:15.3pt;z-index:-2526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" filled="f" stroked="f">
              <v:textbox inset="0,0,0,0">
                <w:txbxContent>
                  <w:p w14:paraId="269DFB9E" w14:textId="77777777" w:rsidR="00FA76E7" w:rsidRDefault="00FA76E7">
                    <w:pPr>
                      <w:spacing w:before="10"/>
                      <w:ind w:left="20"/>
                      <w:rPr>
                        <w:rFonts w:ascii="Times New Roman"/>
                        <w:sz w:val="24"/>
                      </w:rPr>
                    </w:pPr>
                    <w:r>
                      <w:rPr>
                        <w:rFonts w:ascii="Times New Roman"/>
                        <w:sz w:val="24"/>
                      </w:rPr>
                      <w:t>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B80" w14:textId="4A4DE785" w:rsidR="00FA76E7" w:rsidRDefault="00FA76E7">
    <w:pPr>
      <w:pStyle w:val="BodyText"/>
      <w:spacing w:line="14" w:lineRule="auto"/>
      <w:rPr>
        <w:sz w:val="20"/>
      </w:rPr>
    </w:pPr>
    <w:r>
      <w:rPr>
        <w:noProof/>
      </w:rPr>
      <mc:AlternateContent>
        <mc:Choice Requires="wps">
          <w:drawing>
            <wp:anchor distT="0" distB="0" distL="114300" distR="114300" simplePos="0" relativeHeight="250649600" behindDoc="1" locked="0" layoutInCell="1" allowOverlap="1" wp14:anchorId="269DFB8C" wp14:editId="5753F0E8">
              <wp:simplePos x="0" y="0"/>
              <wp:positionH relativeFrom="page">
                <wp:posOffset>6846570</wp:posOffset>
              </wp:positionH>
              <wp:positionV relativeFrom="page">
                <wp:posOffset>9066530</wp:posOffset>
              </wp:positionV>
              <wp:extent cx="101600" cy="1943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FBA0" w14:textId="68C9CD14" w:rsidR="00FA76E7" w:rsidRDefault="00FA76E7">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9DFB8C" id="_x0000_t202" coordsize="21600,21600" o:spt="202" path="m,l,21600r21600,l21600,xe">
              <v:stroke joinstyle="miter"/>
              <v:path gradientshapeok="t" o:connecttype="rect"/>
            </v:shapetype>
            <v:shape id="_x0000_s1031" type="#_x0000_t202" style="position:absolute;margin-left:539.1pt;margin-top:713.9pt;width:8pt;height:15.3pt;z-index:-2526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" filled="f" stroked="f">
              <v:textbox inset="0,0,0,0">
                <w:txbxContent>
                  <w:p w14:paraId="269DFBA0" w14:textId="68C9CD14" w:rsidR="00FA76E7" w:rsidRDefault="00FA76E7">
                    <w:pPr>
                      <w:spacing w:before="10"/>
                      <w:ind w:left="20"/>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250650624" behindDoc="1" locked="0" layoutInCell="1" allowOverlap="1" wp14:anchorId="269DFB8D" wp14:editId="2E5E751A">
              <wp:simplePos x="0" y="0"/>
              <wp:positionH relativeFrom="page">
                <wp:posOffset>3848735</wp:posOffset>
              </wp:positionH>
              <wp:positionV relativeFrom="page">
                <wp:posOffset>9241790</wp:posOffset>
              </wp:positionV>
              <wp:extent cx="15240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FBA1" w14:textId="77777777" w:rsidR="00FA76E7" w:rsidRDefault="00FA76E7">
                          <w:pPr>
                            <w:spacing w:before="10"/>
                            <w:ind w:left="60"/>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9DFB8D" id="Text Box 7" o:spid="_x0000_s1032" type="#_x0000_t202" style="position:absolute;margin-left:303.05pt;margin-top:727.7pt;width:12pt;height:15.3pt;z-index:-2526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" filled="f" stroked="f">
              <v:textbox inset="0,0,0,0">
                <w:txbxContent>
                  <w:p w14:paraId="269DFBA1" w14:textId="77777777" w:rsidR="00FA76E7" w:rsidRDefault="00FA76E7">
                    <w:pPr>
                      <w:spacing w:before="10"/>
                      <w:ind w:left="60"/>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B84" w14:textId="606C9D8F" w:rsidR="00FA76E7" w:rsidRDefault="00FA76E7">
    <w:pPr>
      <w:pStyle w:val="BodyText"/>
      <w:spacing w:line="14" w:lineRule="auto"/>
      <w:rPr>
        <w:sz w:val="20"/>
      </w:rPr>
    </w:pPr>
    <w:r>
      <w:rPr>
        <w:noProof/>
      </w:rPr>
      <mc:AlternateContent>
        <mc:Choice Requires="wps">
          <w:drawing>
            <wp:anchor distT="0" distB="0" distL="114300" distR="114300" simplePos="0" relativeHeight="250656768" behindDoc="1" locked="0" layoutInCell="1" allowOverlap="1" wp14:anchorId="269DFB93" wp14:editId="41E568D7">
              <wp:simplePos x="0" y="0"/>
              <wp:positionH relativeFrom="page">
                <wp:posOffset>3874135</wp:posOffset>
              </wp:positionH>
              <wp:positionV relativeFrom="page">
                <wp:posOffset>9241790</wp:posOffset>
              </wp:positionV>
              <wp:extent cx="101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FBA7" w14:textId="45223E8F" w:rsidR="00FA76E7" w:rsidRDefault="00FA76E7">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9DFB93" id="_x0000_t202" coordsize="21600,21600" o:spt="202" path="m,l,21600r21600,l21600,xe">
              <v:stroke joinstyle="miter"/>
              <v:path gradientshapeok="t" o:connecttype="rect"/>
            </v:shapetype>
            <v:shape id="Text Box 1" o:spid="_x0000_s1034" type="#_x0000_t202" style="position:absolute;margin-left:305.05pt;margin-top:727.7pt;width:8pt;height:15.3pt;z-index:-2526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" filled="f" stroked="f">
              <v:textbox inset="0,0,0,0">
                <w:txbxContent>
                  <w:p w14:paraId="269DFBA7" w14:textId="45223E8F" w:rsidR="00FA76E7" w:rsidRDefault="00FA76E7">
                    <w:pPr>
                      <w:spacing w:before="10"/>
                      <w:ind w:left="2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F9DA" w14:textId="77777777" w:rsidR="00E52487" w:rsidRDefault="00E52487">
      <w:r>
        <w:separator/>
      </w:r>
    </w:p>
  </w:footnote>
  <w:footnote w:type="continuationSeparator" w:id="0">
    <w:p w14:paraId="5988F1BF" w14:textId="77777777" w:rsidR="00E52487" w:rsidRDefault="00E52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B7A" w14:textId="1EE418DF" w:rsidR="00FA76E7" w:rsidRDefault="00FA76E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B7B" w14:textId="071F9517" w:rsidR="00FA76E7" w:rsidRDefault="00FA76E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B7D" w14:textId="1A912257" w:rsidR="00FA76E7" w:rsidRDefault="00FA76E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B7F" w14:textId="2FE41547" w:rsidR="00FA76E7" w:rsidRDefault="00FA76E7">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B83" w14:textId="209B67F8" w:rsidR="00FA76E7" w:rsidRDefault="00FA76E7">
    <w:pPr>
      <w:pStyle w:val="BodyText"/>
      <w:spacing w:line="14" w:lineRule="auto"/>
      <w:rPr>
        <w:sz w:val="20"/>
      </w:rPr>
    </w:pPr>
    <w:r>
      <w:rPr>
        <w:noProof/>
      </w:rPr>
      <mc:AlternateContent>
        <mc:Choice Requires="wps">
          <w:drawing>
            <wp:anchor distT="0" distB="0" distL="114300" distR="114300" simplePos="0" relativeHeight="250654720" behindDoc="1" locked="0" layoutInCell="1" allowOverlap="1" wp14:anchorId="269DFB91" wp14:editId="754985B5">
              <wp:simplePos x="0" y="0"/>
              <wp:positionH relativeFrom="page">
                <wp:posOffset>203200</wp:posOffset>
              </wp:positionH>
              <wp:positionV relativeFrom="page">
                <wp:posOffset>116205</wp:posOffset>
              </wp:positionV>
              <wp:extent cx="3145790"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FBA5" w14:textId="18F3DD8B" w:rsidR="00FA76E7" w:rsidRDefault="00FA76E7">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9DFB91" id="_x0000_t202" coordsize="21600,21600" o:spt="202" path="m,l,21600r21600,l21600,xe">
              <v:stroke joinstyle="miter"/>
              <v:path gradientshapeok="t" o:connecttype="rect"/>
            </v:shapetype>
            <v:shape id="Text Box 3" o:spid="_x0000_s1033" type="#_x0000_t202" style="position:absolute;margin-left:16pt;margin-top:9.15pt;width:247.7pt;height:10.95pt;z-index:-2526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" filled="f" stroked="f">
              <v:textbox inset="0,0,0,0">
                <w:txbxContent>
                  <w:p w14:paraId="269DFBA5" w14:textId="18F3DD8B" w:rsidR="00FA76E7" w:rsidRDefault="00FA76E7">
                    <w:pPr>
                      <w:spacing w:before="14"/>
                      <w:ind w:left="20"/>
                      <w:rPr>
                        <w:rFonts w:asci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6E1"/>
    <w:multiLevelType w:val="hybridMultilevel"/>
    <w:tmpl w:val="6150AA56"/>
    <w:lvl w:ilvl="0" w:tplc="21D8AF8C">
      <w:start w:val="3"/>
      <w:numFmt w:val="lowerLetter"/>
      <w:lvlText w:val="(%1)"/>
      <w:lvlJc w:val="left"/>
      <w:pPr>
        <w:ind w:left="103" w:hanging="266"/>
      </w:pPr>
      <w:rPr>
        <w:rFonts w:asciiTheme="minorHAnsi" w:eastAsia="Times New Roman" w:hAnsiTheme="minorHAnsi" w:cstheme="minorHAnsi" w:hint="default"/>
        <w:spacing w:val="-1"/>
        <w:w w:val="100"/>
        <w:sz w:val="16"/>
        <w:szCs w:val="16"/>
        <w:lang w:val="en-US" w:eastAsia="en-US" w:bidi="en-US"/>
      </w:rPr>
    </w:lvl>
    <w:lvl w:ilvl="1" w:tplc="ABD0BC18">
      <w:numFmt w:val="bullet"/>
      <w:lvlText w:val="•"/>
      <w:lvlJc w:val="left"/>
      <w:pPr>
        <w:ind w:left="556" w:hanging="266"/>
      </w:pPr>
      <w:rPr>
        <w:rFonts w:hint="default"/>
        <w:lang w:val="en-US" w:eastAsia="en-US" w:bidi="en-US"/>
      </w:rPr>
    </w:lvl>
    <w:lvl w:ilvl="2" w:tplc="672A25D2">
      <w:numFmt w:val="bullet"/>
      <w:lvlText w:val="•"/>
      <w:lvlJc w:val="left"/>
      <w:pPr>
        <w:ind w:left="1013" w:hanging="266"/>
      </w:pPr>
      <w:rPr>
        <w:rFonts w:hint="default"/>
        <w:lang w:val="en-US" w:eastAsia="en-US" w:bidi="en-US"/>
      </w:rPr>
    </w:lvl>
    <w:lvl w:ilvl="3" w:tplc="6D8E82C4">
      <w:numFmt w:val="bullet"/>
      <w:lvlText w:val="•"/>
      <w:lvlJc w:val="left"/>
      <w:pPr>
        <w:ind w:left="1469" w:hanging="266"/>
      </w:pPr>
      <w:rPr>
        <w:rFonts w:hint="default"/>
        <w:lang w:val="en-US" w:eastAsia="en-US" w:bidi="en-US"/>
      </w:rPr>
    </w:lvl>
    <w:lvl w:ilvl="4" w:tplc="40568B46">
      <w:numFmt w:val="bullet"/>
      <w:lvlText w:val="•"/>
      <w:lvlJc w:val="left"/>
      <w:pPr>
        <w:ind w:left="1926" w:hanging="266"/>
      </w:pPr>
      <w:rPr>
        <w:rFonts w:hint="default"/>
        <w:lang w:val="en-US" w:eastAsia="en-US" w:bidi="en-US"/>
      </w:rPr>
    </w:lvl>
    <w:lvl w:ilvl="5" w:tplc="9F087F50">
      <w:numFmt w:val="bullet"/>
      <w:lvlText w:val="•"/>
      <w:lvlJc w:val="left"/>
      <w:pPr>
        <w:ind w:left="2383" w:hanging="266"/>
      </w:pPr>
      <w:rPr>
        <w:rFonts w:hint="default"/>
        <w:lang w:val="en-US" w:eastAsia="en-US" w:bidi="en-US"/>
      </w:rPr>
    </w:lvl>
    <w:lvl w:ilvl="6" w:tplc="C8889F8E">
      <w:numFmt w:val="bullet"/>
      <w:lvlText w:val="•"/>
      <w:lvlJc w:val="left"/>
      <w:pPr>
        <w:ind w:left="2839" w:hanging="266"/>
      </w:pPr>
      <w:rPr>
        <w:rFonts w:hint="default"/>
        <w:lang w:val="en-US" w:eastAsia="en-US" w:bidi="en-US"/>
      </w:rPr>
    </w:lvl>
    <w:lvl w:ilvl="7" w:tplc="78D2A37E">
      <w:numFmt w:val="bullet"/>
      <w:lvlText w:val="•"/>
      <w:lvlJc w:val="left"/>
      <w:pPr>
        <w:ind w:left="3296" w:hanging="266"/>
      </w:pPr>
      <w:rPr>
        <w:rFonts w:hint="default"/>
        <w:lang w:val="en-US" w:eastAsia="en-US" w:bidi="en-US"/>
      </w:rPr>
    </w:lvl>
    <w:lvl w:ilvl="8" w:tplc="A492F7C4">
      <w:numFmt w:val="bullet"/>
      <w:lvlText w:val="•"/>
      <w:lvlJc w:val="left"/>
      <w:pPr>
        <w:ind w:left="3753" w:hanging="266"/>
      </w:pPr>
      <w:rPr>
        <w:rFonts w:hint="default"/>
        <w:lang w:val="en-US" w:eastAsia="en-US" w:bidi="en-US"/>
      </w:rPr>
    </w:lvl>
  </w:abstractNum>
  <w:abstractNum w:abstractNumId="1" w15:restartNumberingAfterBreak="0">
    <w:nsid w:val="0643778D"/>
    <w:multiLevelType w:val="hybridMultilevel"/>
    <w:tmpl w:val="5178DFD0"/>
    <w:lvl w:ilvl="0" w:tplc="C25239F2">
      <w:start w:val="1"/>
      <w:numFmt w:val="decimal"/>
      <w:lvlText w:val="%1."/>
      <w:lvlJc w:val="left"/>
      <w:pPr>
        <w:ind w:left="460" w:hanging="360"/>
      </w:pPr>
      <w:rPr>
        <w:rFonts w:hint="default"/>
        <w:w w:val="100"/>
        <w:lang w:val="en-US" w:eastAsia="en-US" w:bidi="en-US"/>
      </w:rPr>
    </w:lvl>
    <w:lvl w:ilvl="1" w:tplc="80C22F40">
      <w:numFmt w:val="bullet"/>
      <w:lvlText w:val="•"/>
      <w:lvlJc w:val="left"/>
      <w:pPr>
        <w:ind w:left="1372" w:hanging="360"/>
      </w:pPr>
      <w:rPr>
        <w:rFonts w:hint="default"/>
        <w:lang w:val="en-US" w:eastAsia="en-US" w:bidi="en-US"/>
      </w:rPr>
    </w:lvl>
    <w:lvl w:ilvl="2" w:tplc="20BAF980">
      <w:numFmt w:val="bullet"/>
      <w:lvlText w:val="•"/>
      <w:lvlJc w:val="left"/>
      <w:pPr>
        <w:ind w:left="2284" w:hanging="360"/>
      </w:pPr>
      <w:rPr>
        <w:rFonts w:hint="default"/>
        <w:lang w:val="en-US" w:eastAsia="en-US" w:bidi="en-US"/>
      </w:rPr>
    </w:lvl>
    <w:lvl w:ilvl="3" w:tplc="3A4E3958">
      <w:numFmt w:val="bullet"/>
      <w:lvlText w:val="•"/>
      <w:lvlJc w:val="left"/>
      <w:pPr>
        <w:ind w:left="3196" w:hanging="360"/>
      </w:pPr>
      <w:rPr>
        <w:rFonts w:hint="default"/>
        <w:lang w:val="en-US" w:eastAsia="en-US" w:bidi="en-US"/>
      </w:rPr>
    </w:lvl>
    <w:lvl w:ilvl="4" w:tplc="60C00064">
      <w:numFmt w:val="bullet"/>
      <w:lvlText w:val="•"/>
      <w:lvlJc w:val="left"/>
      <w:pPr>
        <w:ind w:left="4108" w:hanging="360"/>
      </w:pPr>
      <w:rPr>
        <w:rFonts w:hint="default"/>
        <w:lang w:val="en-US" w:eastAsia="en-US" w:bidi="en-US"/>
      </w:rPr>
    </w:lvl>
    <w:lvl w:ilvl="5" w:tplc="46A8F1F0">
      <w:numFmt w:val="bullet"/>
      <w:lvlText w:val="•"/>
      <w:lvlJc w:val="left"/>
      <w:pPr>
        <w:ind w:left="5020" w:hanging="360"/>
      </w:pPr>
      <w:rPr>
        <w:rFonts w:hint="default"/>
        <w:lang w:val="en-US" w:eastAsia="en-US" w:bidi="en-US"/>
      </w:rPr>
    </w:lvl>
    <w:lvl w:ilvl="6" w:tplc="38B61706">
      <w:numFmt w:val="bullet"/>
      <w:lvlText w:val="•"/>
      <w:lvlJc w:val="left"/>
      <w:pPr>
        <w:ind w:left="5932" w:hanging="360"/>
      </w:pPr>
      <w:rPr>
        <w:rFonts w:hint="default"/>
        <w:lang w:val="en-US" w:eastAsia="en-US" w:bidi="en-US"/>
      </w:rPr>
    </w:lvl>
    <w:lvl w:ilvl="7" w:tplc="850A6BCC">
      <w:numFmt w:val="bullet"/>
      <w:lvlText w:val="•"/>
      <w:lvlJc w:val="left"/>
      <w:pPr>
        <w:ind w:left="6844" w:hanging="360"/>
      </w:pPr>
      <w:rPr>
        <w:rFonts w:hint="default"/>
        <w:lang w:val="en-US" w:eastAsia="en-US" w:bidi="en-US"/>
      </w:rPr>
    </w:lvl>
    <w:lvl w:ilvl="8" w:tplc="CC8A509C">
      <w:numFmt w:val="bullet"/>
      <w:lvlText w:val="•"/>
      <w:lvlJc w:val="left"/>
      <w:pPr>
        <w:ind w:left="7756" w:hanging="360"/>
      </w:pPr>
      <w:rPr>
        <w:rFonts w:hint="default"/>
        <w:lang w:val="en-US" w:eastAsia="en-US" w:bidi="en-US"/>
      </w:rPr>
    </w:lvl>
  </w:abstractNum>
  <w:abstractNum w:abstractNumId="2" w15:restartNumberingAfterBreak="0">
    <w:nsid w:val="0A063EB9"/>
    <w:multiLevelType w:val="hybridMultilevel"/>
    <w:tmpl w:val="0E923E4A"/>
    <w:lvl w:ilvl="0" w:tplc="FE7ECD0E">
      <w:start w:val="1"/>
      <w:numFmt w:val="lowerRoman"/>
      <w:lvlText w:val="(%1)"/>
      <w:lvlJc w:val="left"/>
      <w:pPr>
        <w:ind w:left="107" w:hanging="223"/>
      </w:pPr>
      <w:rPr>
        <w:rFonts w:asciiTheme="minorHAnsi" w:eastAsia="Times New Roman" w:hAnsiTheme="minorHAnsi" w:cstheme="minorHAnsi" w:hint="default"/>
        <w:spacing w:val="-1"/>
        <w:w w:val="100"/>
        <w:sz w:val="16"/>
        <w:szCs w:val="16"/>
        <w:lang w:val="en-US" w:eastAsia="en-US" w:bidi="en-US"/>
      </w:rPr>
    </w:lvl>
    <w:lvl w:ilvl="1" w:tplc="9C367020">
      <w:numFmt w:val="bullet"/>
      <w:lvlText w:val="•"/>
      <w:lvlJc w:val="left"/>
      <w:pPr>
        <w:ind w:left="556" w:hanging="223"/>
      </w:pPr>
      <w:rPr>
        <w:rFonts w:hint="default"/>
        <w:lang w:val="en-US" w:eastAsia="en-US" w:bidi="en-US"/>
      </w:rPr>
    </w:lvl>
    <w:lvl w:ilvl="2" w:tplc="06E01CC8">
      <w:numFmt w:val="bullet"/>
      <w:lvlText w:val="•"/>
      <w:lvlJc w:val="left"/>
      <w:pPr>
        <w:ind w:left="1013" w:hanging="223"/>
      </w:pPr>
      <w:rPr>
        <w:rFonts w:hint="default"/>
        <w:lang w:val="en-US" w:eastAsia="en-US" w:bidi="en-US"/>
      </w:rPr>
    </w:lvl>
    <w:lvl w:ilvl="3" w:tplc="92D09B2E">
      <w:numFmt w:val="bullet"/>
      <w:lvlText w:val="•"/>
      <w:lvlJc w:val="left"/>
      <w:pPr>
        <w:ind w:left="1469" w:hanging="223"/>
      </w:pPr>
      <w:rPr>
        <w:rFonts w:hint="default"/>
        <w:lang w:val="en-US" w:eastAsia="en-US" w:bidi="en-US"/>
      </w:rPr>
    </w:lvl>
    <w:lvl w:ilvl="4" w:tplc="AF0CE626">
      <w:numFmt w:val="bullet"/>
      <w:lvlText w:val="•"/>
      <w:lvlJc w:val="left"/>
      <w:pPr>
        <w:ind w:left="1926" w:hanging="223"/>
      </w:pPr>
      <w:rPr>
        <w:rFonts w:hint="default"/>
        <w:lang w:val="en-US" w:eastAsia="en-US" w:bidi="en-US"/>
      </w:rPr>
    </w:lvl>
    <w:lvl w:ilvl="5" w:tplc="CE4AACAE">
      <w:numFmt w:val="bullet"/>
      <w:lvlText w:val="•"/>
      <w:lvlJc w:val="left"/>
      <w:pPr>
        <w:ind w:left="2383" w:hanging="223"/>
      </w:pPr>
      <w:rPr>
        <w:rFonts w:hint="default"/>
        <w:lang w:val="en-US" w:eastAsia="en-US" w:bidi="en-US"/>
      </w:rPr>
    </w:lvl>
    <w:lvl w:ilvl="6" w:tplc="21C6216C">
      <w:numFmt w:val="bullet"/>
      <w:lvlText w:val="•"/>
      <w:lvlJc w:val="left"/>
      <w:pPr>
        <w:ind w:left="2839" w:hanging="223"/>
      </w:pPr>
      <w:rPr>
        <w:rFonts w:hint="default"/>
        <w:lang w:val="en-US" w:eastAsia="en-US" w:bidi="en-US"/>
      </w:rPr>
    </w:lvl>
    <w:lvl w:ilvl="7" w:tplc="8F949710">
      <w:numFmt w:val="bullet"/>
      <w:lvlText w:val="•"/>
      <w:lvlJc w:val="left"/>
      <w:pPr>
        <w:ind w:left="3296" w:hanging="223"/>
      </w:pPr>
      <w:rPr>
        <w:rFonts w:hint="default"/>
        <w:lang w:val="en-US" w:eastAsia="en-US" w:bidi="en-US"/>
      </w:rPr>
    </w:lvl>
    <w:lvl w:ilvl="8" w:tplc="DB0279FA">
      <w:numFmt w:val="bullet"/>
      <w:lvlText w:val="•"/>
      <w:lvlJc w:val="left"/>
      <w:pPr>
        <w:ind w:left="3752" w:hanging="223"/>
      </w:pPr>
      <w:rPr>
        <w:rFonts w:hint="default"/>
        <w:lang w:val="en-US" w:eastAsia="en-US" w:bidi="en-US"/>
      </w:rPr>
    </w:lvl>
  </w:abstractNum>
  <w:abstractNum w:abstractNumId="3" w15:restartNumberingAfterBreak="0">
    <w:nsid w:val="1269743B"/>
    <w:multiLevelType w:val="hybridMultilevel"/>
    <w:tmpl w:val="AD005C9E"/>
    <w:lvl w:ilvl="0" w:tplc="9D2640BC">
      <w:start w:val="1"/>
      <w:numFmt w:val="lowerRoman"/>
      <w:lvlText w:val="(%1)"/>
      <w:lvlJc w:val="left"/>
      <w:pPr>
        <w:ind w:left="107" w:hanging="206"/>
      </w:pPr>
      <w:rPr>
        <w:rFonts w:asciiTheme="minorHAnsi" w:eastAsia="Times New Roman" w:hAnsiTheme="minorHAnsi" w:cstheme="minorHAnsi" w:hint="default"/>
        <w:spacing w:val="-1"/>
        <w:w w:val="100"/>
        <w:sz w:val="16"/>
        <w:szCs w:val="16"/>
        <w:lang w:val="en-US" w:eastAsia="en-US" w:bidi="en-US"/>
      </w:rPr>
    </w:lvl>
    <w:lvl w:ilvl="1" w:tplc="E0CEFFD8">
      <w:numFmt w:val="bullet"/>
      <w:lvlText w:val="•"/>
      <w:lvlJc w:val="left"/>
      <w:pPr>
        <w:ind w:left="556" w:hanging="206"/>
      </w:pPr>
      <w:rPr>
        <w:rFonts w:hint="default"/>
        <w:lang w:val="en-US" w:eastAsia="en-US" w:bidi="en-US"/>
      </w:rPr>
    </w:lvl>
    <w:lvl w:ilvl="2" w:tplc="8AEE78CA">
      <w:numFmt w:val="bullet"/>
      <w:lvlText w:val="•"/>
      <w:lvlJc w:val="left"/>
      <w:pPr>
        <w:ind w:left="1013" w:hanging="206"/>
      </w:pPr>
      <w:rPr>
        <w:rFonts w:hint="default"/>
        <w:lang w:val="en-US" w:eastAsia="en-US" w:bidi="en-US"/>
      </w:rPr>
    </w:lvl>
    <w:lvl w:ilvl="3" w:tplc="669AB864">
      <w:numFmt w:val="bullet"/>
      <w:lvlText w:val="•"/>
      <w:lvlJc w:val="left"/>
      <w:pPr>
        <w:ind w:left="1469" w:hanging="206"/>
      </w:pPr>
      <w:rPr>
        <w:rFonts w:hint="default"/>
        <w:lang w:val="en-US" w:eastAsia="en-US" w:bidi="en-US"/>
      </w:rPr>
    </w:lvl>
    <w:lvl w:ilvl="4" w:tplc="66F8D272">
      <w:numFmt w:val="bullet"/>
      <w:lvlText w:val="•"/>
      <w:lvlJc w:val="left"/>
      <w:pPr>
        <w:ind w:left="1926" w:hanging="206"/>
      </w:pPr>
      <w:rPr>
        <w:rFonts w:hint="default"/>
        <w:lang w:val="en-US" w:eastAsia="en-US" w:bidi="en-US"/>
      </w:rPr>
    </w:lvl>
    <w:lvl w:ilvl="5" w:tplc="FAA09168">
      <w:numFmt w:val="bullet"/>
      <w:lvlText w:val="•"/>
      <w:lvlJc w:val="left"/>
      <w:pPr>
        <w:ind w:left="2383" w:hanging="206"/>
      </w:pPr>
      <w:rPr>
        <w:rFonts w:hint="default"/>
        <w:lang w:val="en-US" w:eastAsia="en-US" w:bidi="en-US"/>
      </w:rPr>
    </w:lvl>
    <w:lvl w:ilvl="6" w:tplc="AD787354">
      <w:numFmt w:val="bullet"/>
      <w:lvlText w:val="•"/>
      <w:lvlJc w:val="left"/>
      <w:pPr>
        <w:ind w:left="2839" w:hanging="206"/>
      </w:pPr>
      <w:rPr>
        <w:rFonts w:hint="default"/>
        <w:lang w:val="en-US" w:eastAsia="en-US" w:bidi="en-US"/>
      </w:rPr>
    </w:lvl>
    <w:lvl w:ilvl="7" w:tplc="F9FE290C">
      <w:numFmt w:val="bullet"/>
      <w:lvlText w:val="•"/>
      <w:lvlJc w:val="left"/>
      <w:pPr>
        <w:ind w:left="3296" w:hanging="206"/>
      </w:pPr>
      <w:rPr>
        <w:rFonts w:hint="default"/>
        <w:lang w:val="en-US" w:eastAsia="en-US" w:bidi="en-US"/>
      </w:rPr>
    </w:lvl>
    <w:lvl w:ilvl="8" w:tplc="F708B324">
      <w:numFmt w:val="bullet"/>
      <w:lvlText w:val="•"/>
      <w:lvlJc w:val="left"/>
      <w:pPr>
        <w:ind w:left="3752" w:hanging="206"/>
      </w:pPr>
      <w:rPr>
        <w:rFonts w:hint="default"/>
        <w:lang w:val="en-US" w:eastAsia="en-US" w:bidi="en-US"/>
      </w:rPr>
    </w:lvl>
  </w:abstractNum>
  <w:abstractNum w:abstractNumId="4" w15:restartNumberingAfterBreak="0">
    <w:nsid w:val="15692405"/>
    <w:multiLevelType w:val="hybridMultilevel"/>
    <w:tmpl w:val="347E0CBC"/>
    <w:lvl w:ilvl="0" w:tplc="CC402AD0">
      <w:start w:val="2"/>
      <w:numFmt w:val="decimal"/>
      <w:lvlText w:val="%1"/>
      <w:lvlJc w:val="left"/>
      <w:pPr>
        <w:ind w:left="100" w:hanging="135"/>
      </w:pPr>
      <w:rPr>
        <w:rFonts w:hint="default"/>
        <w:w w:val="99"/>
        <w:position w:val="8"/>
        <w:lang w:val="en-US" w:eastAsia="en-US" w:bidi="en-US"/>
      </w:rPr>
    </w:lvl>
    <w:lvl w:ilvl="1" w:tplc="E2FEB2B8">
      <w:numFmt w:val="bullet"/>
      <w:lvlText w:val="•"/>
      <w:lvlJc w:val="left"/>
      <w:pPr>
        <w:ind w:left="1048" w:hanging="135"/>
      </w:pPr>
      <w:rPr>
        <w:rFonts w:hint="default"/>
        <w:lang w:val="en-US" w:eastAsia="en-US" w:bidi="en-US"/>
      </w:rPr>
    </w:lvl>
    <w:lvl w:ilvl="2" w:tplc="E382B580">
      <w:numFmt w:val="bullet"/>
      <w:lvlText w:val="•"/>
      <w:lvlJc w:val="left"/>
      <w:pPr>
        <w:ind w:left="1996" w:hanging="135"/>
      </w:pPr>
      <w:rPr>
        <w:rFonts w:hint="default"/>
        <w:lang w:val="en-US" w:eastAsia="en-US" w:bidi="en-US"/>
      </w:rPr>
    </w:lvl>
    <w:lvl w:ilvl="3" w:tplc="9C3E7FC0">
      <w:numFmt w:val="bullet"/>
      <w:lvlText w:val="•"/>
      <w:lvlJc w:val="left"/>
      <w:pPr>
        <w:ind w:left="2944" w:hanging="135"/>
      </w:pPr>
      <w:rPr>
        <w:rFonts w:hint="default"/>
        <w:lang w:val="en-US" w:eastAsia="en-US" w:bidi="en-US"/>
      </w:rPr>
    </w:lvl>
    <w:lvl w:ilvl="4" w:tplc="5A88ADA0">
      <w:numFmt w:val="bullet"/>
      <w:lvlText w:val="•"/>
      <w:lvlJc w:val="left"/>
      <w:pPr>
        <w:ind w:left="3892" w:hanging="135"/>
      </w:pPr>
      <w:rPr>
        <w:rFonts w:hint="default"/>
        <w:lang w:val="en-US" w:eastAsia="en-US" w:bidi="en-US"/>
      </w:rPr>
    </w:lvl>
    <w:lvl w:ilvl="5" w:tplc="67C45EC0">
      <w:numFmt w:val="bullet"/>
      <w:lvlText w:val="•"/>
      <w:lvlJc w:val="left"/>
      <w:pPr>
        <w:ind w:left="4840" w:hanging="135"/>
      </w:pPr>
      <w:rPr>
        <w:rFonts w:hint="default"/>
        <w:lang w:val="en-US" w:eastAsia="en-US" w:bidi="en-US"/>
      </w:rPr>
    </w:lvl>
    <w:lvl w:ilvl="6" w:tplc="5900D332">
      <w:numFmt w:val="bullet"/>
      <w:lvlText w:val="•"/>
      <w:lvlJc w:val="left"/>
      <w:pPr>
        <w:ind w:left="5788" w:hanging="135"/>
      </w:pPr>
      <w:rPr>
        <w:rFonts w:hint="default"/>
        <w:lang w:val="en-US" w:eastAsia="en-US" w:bidi="en-US"/>
      </w:rPr>
    </w:lvl>
    <w:lvl w:ilvl="7" w:tplc="C9BCDBD8">
      <w:numFmt w:val="bullet"/>
      <w:lvlText w:val="•"/>
      <w:lvlJc w:val="left"/>
      <w:pPr>
        <w:ind w:left="6736" w:hanging="135"/>
      </w:pPr>
      <w:rPr>
        <w:rFonts w:hint="default"/>
        <w:lang w:val="en-US" w:eastAsia="en-US" w:bidi="en-US"/>
      </w:rPr>
    </w:lvl>
    <w:lvl w:ilvl="8" w:tplc="9078C134">
      <w:numFmt w:val="bullet"/>
      <w:lvlText w:val="•"/>
      <w:lvlJc w:val="left"/>
      <w:pPr>
        <w:ind w:left="7684" w:hanging="135"/>
      </w:pPr>
      <w:rPr>
        <w:rFonts w:hint="default"/>
        <w:lang w:val="en-US" w:eastAsia="en-US" w:bidi="en-US"/>
      </w:rPr>
    </w:lvl>
  </w:abstractNum>
  <w:abstractNum w:abstractNumId="5" w15:restartNumberingAfterBreak="0">
    <w:nsid w:val="1D851CC2"/>
    <w:multiLevelType w:val="hybridMultilevel"/>
    <w:tmpl w:val="FF8673A6"/>
    <w:lvl w:ilvl="0" w:tplc="38428FF8">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808608EC">
      <w:numFmt w:val="bullet"/>
      <w:lvlText w:val="•"/>
      <w:lvlJc w:val="left"/>
      <w:pPr>
        <w:ind w:left="1696" w:hanging="360"/>
      </w:pPr>
      <w:rPr>
        <w:rFonts w:hint="default"/>
        <w:lang w:val="en-US" w:eastAsia="en-US" w:bidi="en-US"/>
      </w:rPr>
    </w:lvl>
    <w:lvl w:ilvl="2" w:tplc="C7CA1052">
      <w:numFmt w:val="bullet"/>
      <w:lvlText w:val="•"/>
      <w:lvlJc w:val="left"/>
      <w:pPr>
        <w:ind w:left="2572" w:hanging="360"/>
      </w:pPr>
      <w:rPr>
        <w:rFonts w:hint="default"/>
        <w:lang w:val="en-US" w:eastAsia="en-US" w:bidi="en-US"/>
      </w:rPr>
    </w:lvl>
    <w:lvl w:ilvl="3" w:tplc="7C08A40A">
      <w:numFmt w:val="bullet"/>
      <w:lvlText w:val="•"/>
      <w:lvlJc w:val="left"/>
      <w:pPr>
        <w:ind w:left="3448" w:hanging="360"/>
      </w:pPr>
      <w:rPr>
        <w:rFonts w:hint="default"/>
        <w:lang w:val="en-US" w:eastAsia="en-US" w:bidi="en-US"/>
      </w:rPr>
    </w:lvl>
    <w:lvl w:ilvl="4" w:tplc="A45AA36E">
      <w:numFmt w:val="bullet"/>
      <w:lvlText w:val="•"/>
      <w:lvlJc w:val="left"/>
      <w:pPr>
        <w:ind w:left="4324" w:hanging="360"/>
      </w:pPr>
      <w:rPr>
        <w:rFonts w:hint="default"/>
        <w:lang w:val="en-US" w:eastAsia="en-US" w:bidi="en-US"/>
      </w:rPr>
    </w:lvl>
    <w:lvl w:ilvl="5" w:tplc="32A8C346">
      <w:numFmt w:val="bullet"/>
      <w:lvlText w:val="•"/>
      <w:lvlJc w:val="left"/>
      <w:pPr>
        <w:ind w:left="5200" w:hanging="360"/>
      </w:pPr>
      <w:rPr>
        <w:rFonts w:hint="default"/>
        <w:lang w:val="en-US" w:eastAsia="en-US" w:bidi="en-US"/>
      </w:rPr>
    </w:lvl>
    <w:lvl w:ilvl="6" w:tplc="FF0E62E2">
      <w:numFmt w:val="bullet"/>
      <w:lvlText w:val="•"/>
      <w:lvlJc w:val="left"/>
      <w:pPr>
        <w:ind w:left="6076" w:hanging="360"/>
      </w:pPr>
      <w:rPr>
        <w:rFonts w:hint="default"/>
        <w:lang w:val="en-US" w:eastAsia="en-US" w:bidi="en-US"/>
      </w:rPr>
    </w:lvl>
    <w:lvl w:ilvl="7" w:tplc="DCCE70B6">
      <w:numFmt w:val="bullet"/>
      <w:lvlText w:val="•"/>
      <w:lvlJc w:val="left"/>
      <w:pPr>
        <w:ind w:left="6952" w:hanging="360"/>
      </w:pPr>
      <w:rPr>
        <w:rFonts w:hint="default"/>
        <w:lang w:val="en-US" w:eastAsia="en-US" w:bidi="en-US"/>
      </w:rPr>
    </w:lvl>
    <w:lvl w:ilvl="8" w:tplc="7BB8CF04">
      <w:numFmt w:val="bullet"/>
      <w:lvlText w:val="•"/>
      <w:lvlJc w:val="left"/>
      <w:pPr>
        <w:ind w:left="7828" w:hanging="360"/>
      </w:pPr>
      <w:rPr>
        <w:rFonts w:hint="default"/>
        <w:lang w:val="en-US" w:eastAsia="en-US" w:bidi="en-US"/>
      </w:rPr>
    </w:lvl>
  </w:abstractNum>
  <w:abstractNum w:abstractNumId="6" w15:restartNumberingAfterBreak="0">
    <w:nsid w:val="1E125F04"/>
    <w:multiLevelType w:val="multilevel"/>
    <w:tmpl w:val="B5507506"/>
    <w:lvl w:ilvl="0">
      <w:start w:val="1"/>
      <w:numFmt w:val="decimal"/>
      <w:lvlText w:val="%1."/>
      <w:lvlJc w:val="left"/>
      <w:pPr>
        <w:ind w:left="460" w:hanging="360"/>
        <w:jc w:val="right"/>
      </w:pPr>
      <w:rPr>
        <w:rFonts w:ascii="Calibri" w:eastAsia="Calibri" w:hAnsi="Calibri" w:cs="Calibri" w:hint="default"/>
        <w:b/>
        <w:bCs/>
        <w:w w:val="100"/>
        <w:sz w:val="22"/>
        <w:szCs w:val="22"/>
        <w:lang w:val="en-US" w:eastAsia="en-US" w:bidi="en-US"/>
      </w:rPr>
    </w:lvl>
    <w:lvl w:ilvl="1">
      <w:start w:val="1"/>
      <w:numFmt w:val="decimal"/>
      <w:lvlText w:val="%1.%2."/>
      <w:lvlJc w:val="left"/>
      <w:pPr>
        <w:ind w:left="892" w:hanging="432"/>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374" w:hanging="555"/>
      </w:pPr>
      <w:rPr>
        <w:rFonts w:ascii="Calibri" w:eastAsia="Calibri" w:hAnsi="Calibri" w:cs="Calibri" w:hint="default"/>
        <w:spacing w:val="-1"/>
        <w:w w:val="100"/>
        <w:sz w:val="22"/>
        <w:szCs w:val="22"/>
        <w:lang w:val="en-US" w:eastAsia="en-US" w:bidi="en-US"/>
      </w:rPr>
    </w:lvl>
    <w:lvl w:ilvl="3">
      <w:start w:val="1"/>
      <w:numFmt w:val="decimal"/>
      <w:lvlText w:val="%1.%2.%3.%4"/>
      <w:lvlJc w:val="left"/>
      <w:pPr>
        <w:ind w:left="1900" w:hanging="720"/>
      </w:pPr>
      <w:rPr>
        <w:rFonts w:ascii="Calibri" w:eastAsia="Calibri" w:hAnsi="Calibri" w:cs="Calibri" w:hint="default"/>
        <w:spacing w:val="-3"/>
        <w:w w:val="100"/>
        <w:sz w:val="22"/>
        <w:szCs w:val="22"/>
        <w:lang w:val="en-US" w:eastAsia="en-US" w:bidi="en-US"/>
      </w:rPr>
    </w:lvl>
    <w:lvl w:ilvl="4">
      <w:numFmt w:val="bullet"/>
      <w:lvlText w:val=""/>
      <w:lvlJc w:val="left"/>
      <w:pPr>
        <w:ind w:left="2621" w:hanging="361"/>
      </w:pPr>
      <w:rPr>
        <w:rFonts w:ascii="Symbol" w:eastAsia="Symbol" w:hAnsi="Symbol" w:cs="Symbol" w:hint="default"/>
        <w:w w:val="100"/>
        <w:sz w:val="22"/>
        <w:szCs w:val="22"/>
        <w:lang w:val="en-US" w:eastAsia="en-US" w:bidi="en-US"/>
      </w:rPr>
    </w:lvl>
    <w:lvl w:ilvl="5">
      <w:numFmt w:val="bullet"/>
      <w:lvlText w:val="•"/>
      <w:lvlJc w:val="left"/>
      <w:pPr>
        <w:ind w:left="2620" w:hanging="361"/>
      </w:pPr>
      <w:rPr>
        <w:rFonts w:hint="default"/>
        <w:lang w:val="en-US" w:eastAsia="en-US" w:bidi="en-US"/>
      </w:rPr>
    </w:lvl>
    <w:lvl w:ilvl="6">
      <w:numFmt w:val="bullet"/>
      <w:lvlText w:val="•"/>
      <w:lvlJc w:val="left"/>
      <w:pPr>
        <w:ind w:left="4012" w:hanging="361"/>
      </w:pPr>
      <w:rPr>
        <w:rFonts w:hint="default"/>
        <w:lang w:val="en-US" w:eastAsia="en-US" w:bidi="en-US"/>
      </w:rPr>
    </w:lvl>
    <w:lvl w:ilvl="7">
      <w:numFmt w:val="bullet"/>
      <w:lvlText w:val="•"/>
      <w:lvlJc w:val="left"/>
      <w:pPr>
        <w:ind w:left="5404" w:hanging="361"/>
      </w:pPr>
      <w:rPr>
        <w:rFonts w:hint="default"/>
        <w:lang w:val="en-US" w:eastAsia="en-US" w:bidi="en-US"/>
      </w:rPr>
    </w:lvl>
    <w:lvl w:ilvl="8">
      <w:numFmt w:val="bullet"/>
      <w:lvlText w:val="•"/>
      <w:lvlJc w:val="left"/>
      <w:pPr>
        <w:ind w:left="6796" w:hanging="361"/>
      </w:pPr>
      <w:rPr>
        <w:rFonts w:hint="default"/>
        <w:lang w:val="en-US" w:eastAsia="en-US" w:bidi="en-US"/>
      </w:rPr>
    </w:lvl>
  </w:abstractNum>
  <w:abstractNum w:abstractNumId="7" w15:restartNumberingAfterBreak="0">
    <w:nsid w:val="24CA04A2"/>
    <w:multiLevelType w:val="hybridMultilevel"/>
    <w:tmpl w:val="DAA45A2A"/>
    <w:lvl w:ilvl="0" w:tplc="64E03D04">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1EEA610C">
      <w:start w:val="1"/>
      <w:numFmt w:val="lowerLetter"/>
      <w:lvlText w:val="%2."/>
      <w:lvlJc w:val="left"/>
      <w:pPr>
        <w:ind w:left="1540" w:hanging="360"/>
      </w:pPr>
      <w:rPr>
        <w:rFonts w:ascii="Calibri" w:eastAsia="Calibri" w:hAnsi="Calibri" w:cs="Calibri" w:hint="default"/>
        <w:spacing w:val="-1"/>
        <w:w w:val="100"/>
        <w:sz w:val="22"/>
        <w:szCs w:val="22"/>
        <w:lang w:val="en-US" w:eastAsia="en-US" w:bidi="en-US"/>
      </w:rPr>
    </w:lvl>
    <w:lvl w:ilvl="2" w:tplc="6A3A97E2">
      <w:numFmt w:val="bullet"/>
      <w:lvlText w:val="•"/>
      <w:lvlJc w:val="left"/>
      <w:pPr>
        <w:ind w:left="2433" w:hanging="360"/>
      </w:pPr>
      <w:rPr>
        <w:rFonts w:hint="default"/>
        <w:lang w:val="en-US" w:eastAsia="en-US" w:bidi="en-US"/>
      </w:rPr>
    </w:lvl>
    <w:lvl w:ilvl="3" w:tplc="39221E36">
      <w:numFmt w:val="bullet"/>
      <w:lvlText w:val="•"/>
      <w:lvlJc w:val="left"/>
      <w:pPr>
        <w:ind w:left="3326" w:hanging="360"/>
      </w:pPr>
      <w:rPr>
        <w:rFonts w:hint="default"/>
        <w:lang w:val="en-US" w:eastAsia="en-US" w:bidi="en-US"/>
      </w:rPr>
    </w:lvl>
    <w:lvl w:ilvl="4" w:tplc="408CA3FE">
      <w:numFmt w:val="bullet"/>
      <w:lvlText w:val="•"/>
      <w:lvlJc w:val="left"/>
      <w:pPr>
        <w:ind w:left="4220" w:hanging="360"/>
      </w:pPr>
      <w:rPr>
        <w:rFonts w:hint="default"/>
        <w:lang w:val="en-US" w:eastAsia="en-US" w:bidi="en-US"/>
      </w:rPr>
    </w:lvl>
    <w:lvl w:ilvl="5" w:tplc="E7461D6E">
      <w:numFmt w:val="bullet"/>
      <w:lvlText w:val="•"/>
      <w:lvlJc w:val="left"/>
      <w:pPr>
        <w:ind w:left="5113" w:hanging="360"/>
      </w:pPr>
      <w:rPr>
        <w:rFonts w:hint="default"/>
        <w:lang w:val="en-US" w:eastAsia="en-US" w:bidi="en-US"/>
      </w:rPr>
    </w:lvl>
    <w:lvl w:ilvl="6" w:tplc="6C4AB24A">
      <w:numFmt w:val="bullet"/>
      <w:lvlText w:val="•"/>
      <w:lvlJc w:val="left"/>
      <w:pPr>
        <w:ind w:left="6006" w:hanging="360"/>
      </w:pPr>
      <w:rPr>
        <w:rFonts w:hint="default"/>
        <w:lang w:val="en-US" w:eastAsia="en-US" w:bidi="en-US"/>
      </w:rPr>
    </w:lvl>
    <w:lvl w:ilvl="7" w:tplc="786AD61E">
      <w:numFmt w:val="bullet"/>
      <w:lvlText w:val="•"/>
      <w:lvlJc w:val="left"/>
      <w:pPr>
        <w:ind w:left="6900" w:hanging="360"/>
      </w:pPr>
      <w:rPr>
        <w:rFonts w:hint="default"/>
        <w:lang w:val="en-US" w:eastAsia="en-US" w:bidi="en-US"/>
      </w:rPr>
    </w:lvl>
    <w:lvl w:ilvl="8" w:tplc="E2963BAE">
      <w:numFmt w:val="bullet"/>
      <w:lvlText w:val="•"/>
      <w:lvlJc w:val="left"/>
      <w:pPr>
        <w:ind w:left="7793" w:hanging="360"/>
      </w:pPr>
      <w:rPr>
        <w:rFonts w:hint="default"/>
        <w:lang w:val="en-US" w:eastAsia="en-US" w:bidi="en-US"/>
      </w:rPr>
    </w:lvl>
  </w:abstractNum>
  <w:abstractNum w:abstractNumId="8" w15:restartNumberingAfterBreak="0">
    <w:nsid w:val="39621BFC"/>
    <w:multiLevelType w:val="hybridMultilevel"/>
    <w:tmpl w:val="A73C2C3E"/>
    <w:lvl w:ilvl="0" w:tplc="D3BA46BE">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4442F1EC">
      <w:numFmt w:val="bullet"/>
      <w:lvlText w:val="•"/>
      <w:lvlJc w:val="left"/>
      <w:pPr>
        <w:ind w:left="1696" w:hanging="360"/>
      </w:pPr>
      <w:rPr>
        <w:rFonts w:hint="default"/>
        <w:lang w:val="en-US" w:eastAsia="en-US" w:bidi="en-US"/>
      </w:rPr>
    </w:lvl>
    <w:lvl w:ilvl="2" w:tplc="7AAA3986">
      <w:numFmt w:val="bullet"/>
      <w:lvlText w:val="•"/>
      <w:lvlJc w:val="left"/>
      <w:pPr>
        <w:ind w:left="2572" w:hanging="360"/>
      </w:pPr>
      <w:rPr>
        <w:rFonts w:hint="default"/>
        <w:lang w:val="en-US" w:eastAsia="en-US" w:bidi="en-US"/>
      </w:rPr>
    </w:lvl>
    <w:lvl w:ilvl="3" w:tplc="25883278">
      <w:numFmt w:val="bullet"/>
      <w:lvlText w:val="•"/>
      <w:lvlJc w:val="left"/>
      <w:pPr>
        <w:ind w:left="3448" w:hanging="360"/>
      </w:pPr>
      <w:rPr>
        <w:rFonts w:hint="default"/>
        <w:lang w:val="en-US" w:eastAsia="en-US" w:bidi="en-US"/>
      </w:rPr>
    </w:lvl>
    <w:lvl w:ilvl="4" w:tplc="97E0FDA0">
      <w:numFmt w:val="bullet"/>
      <w:lvlText w:val="•"/>
      <w:lvlJc w:val="left"/>
      <w:pPr>
        <w:ind w:left="4324" w:hanging="360"/>
      </w:pPr>
      <w:rPr>
        <w:rFonts w:hint="default"/>
        <w:lang w:val="en-US" w:eastAsia="en-US" w:bidi="en-US"/>
      </w:rPr>
    </w:lvl>
    <w:lvl w:ilvl="5" w:tplc="6D4428D8">
      <w:numFmt w:val="bullet"/>
      <w:lvlText w:val="•"/>
      <w:lvlJc w:val="left"/>
      <w:pPr>
        <w:ind w:left="5200" w:hanging="360"/>
      </w:pPr>
      <w:rPr>
        <w:rFonts w:hint="default"/>
        <w:lang w:val="en-US" w:eastAsia="en-US" w:bidi="en-US"/>
      </w:rPr>
    </w:lvl>
    <w:lvl w:ilvl="6" w:tplc="58AE9640">
      <w:numFmt w:val="bullet"/>
      <w:lvlText w:val="•"/>
      <w:lvlJc w:val="left"/>
      <w:pPr>
        <w:ind w:left="6076" w:hanging="360"/>
      </w:pPr>
      <w:rPr>
        <w:rFonts w:hint="default"/>
        <w:lang w:val="en-US" w:eastAsia="en-US" w:bidi="en-US"/>
      </w:rPr>
    </w:lvl>
    <w:lvl w:ilvl="7" w:tplc="99887F98">
      <w:numFmt w:val="bullet"/>
      <w:lvlText w:val="•"/>
      <w:lvlJc w:val="left"/>
      <w:pPr>
        <w:ind w:left="6952" w:hanging="360"/>
      </w:pPr>
      <w:rPr>
        <w:rFonts w:hint="default"/>
        <w:lang w:val="en-US" w:eastAsia="en-US" w:bidi="en-US"/>
      </w:rPr>
    </w:lvl>
    <w:lvl w:ilvl="8" w:tplc="4D18F954">
      <w:numFmt w:val="bullet"/>
      <w:lvlText w:val="•"/>
      <w:lvlJc w:val="left"/>
      <w:pPr>
        <w:ind w:left="7828" w:hanging="360"/>
      </w:pPr>
      <w:rPr>
        <w:rFonts w:hint="default"/>
        <w:lang w:val="en-US" w:eastAsia="en-US" w:bidi="en-US"/>
      </w:rPr>
    </w:lvl>
  </w:abstractNum>
  <w:abstractNum w:abstractNumId="9" w15:restartNumberingAfterBreak="0">
    <w:nsid w:val="3F1125CE"/>
    <w:multiLevelType w:val="hybridMultilevel"/>
    <w:tmpl w:val="009A5D08"/>
    <w:lvl w:ilvl="0" w:tplc="5AA00156">
      <w:numFmt w:val="bullet"/>
      <w:lvlText w:val=""/>
      <w:lvlJc w:val="left"/>
      <w:pPr>
        <w:ind w:left="467" w:hanging="360"/>
      </w:pPr>
      <w:rPr>
        <w:rFonts w:ascii="Symbol" w:eastAsia="Symbol" w:hAnsi="Symbol" w:cs="Symbol" w:hint="default"/>
        <w:w w:val="100"/>
        <w:sz w:val="16"/>
        <w:szCs w:val="16"/>
        <w:lang w:val="en-US" w:eastAsia="en-US" w:bidi="en-US"/>
      </w:rPr>
    </w:lvl>
    <w:lvl w:ilvl="1" w:tplc="9E3287D0">
      <w:numFmt w:val="bullet"/>
      <w:lvlText w:val="•"/>
      <w:lvlJc w:val="left"/>
      <w:pPr>
        <w:ind w:left="880" w:hanging="360"/>
      </w:pPr>
      <w:rPr>
        <w:rFonts w:hint="default"/>
        <w:lang w:val="en-US" w:eastAsia="en-US" w:bidi="en-US"/>
      </w:rPr>
    </w:lvl>
    <w:lvl w:ilvl="2" w:tplc="9A6A5EC6">
      <w:numFmt w:val="bullet"/>
      <w:lvlText w:val="•"/>
      <w:lvlJc w:val="left"/>
      <w:pPr>
        <w:ind w:left="1301" w:hanging="360"/>
      </w:pPr>
      <w:rPr>
        <w:rFonts w:hint="default"/>
        <w:lang w:val="en-US" w:eastAsia="en-US" w:bidi="en-US"/>
      </w:rPr>
    </w:lvl>
    <w:lvl w:ilvl="3" w:tplc="3B1E629A">
      <w:numFmt w:val="bullet"/>
      <w:lvlText w:val="•"/>
      <w:lvlJc w:val="left"/>
      <w:pPr>
        <w:ind w:left="1721" w:hanging="360"/>
      </w:pPr>
      <w:rPr>
        <w:rFonts w:hint="default"/>
        <w:lang w:val="en-US" w:eastAsia="en-US" w:bidi="en-US"/>
      </w:rPr>
    </w:lvl>
    <w:lvl w:ilvl="4" w:tplc="344EFCD4">
      <w:numFmt w:val="bullet"/>
      <w:lvlText w:val="•"/>
      <w:lvlJc w:val="left"/>
      <w:pPr>
        <w:ind w:left="2142" w:hanging="360"/>
      </w:pPr>
      <w:rPr>
        <w:rFonts w:hint="default"/>
        <w:lang w:val="en-US" w:eastAsia="en-US" w:bidi="en-US"/>
      </w:rPr>
    </w:lvl>
    <w:lvl w:ilvl="5" w:tplc="E3806AA8">
      <w:numFmt w:val="bullet"/>
      <w:lvlText w:val="•"/>
      <w:lvlJc w:val="left"/>
      <w:pPr>
        <w:ind w:left="2563" w:hanging="360"/>
      </w:pPr>
      <w:rPr>
        <w:rFonts w:hint="default"/>
        <w:lang w:val="en-US" w:eastAsia="en-US" w:bidi="en-US"/>
      </w:rPr>
    </w:lvl>
    <w:lvl w:ilvl="6" w:tplc="3B7EAAF0">
      <w:numFmt w:val="bullet"/>
      <w:lvlText w:val="•"/>
      <w:lvlJc w:val="left"/>
      <w:pPr>
        <w:ind w:left="2983" w:hanging="360"/>
      </w:pPr>
      <w:rPr>
        <w:rFonts w:hint="default"/>
        <w:lang w:val="en-US" w:eastAsia="en-US" w:bidi="en-US"/>
      </w:rPr>
    </w:lvl>
    <w:lvl w:ilvl="7" w:tplc="6DD05682">
      <w:numFmt w:val="bullet"/>
      <w:lvlText w:val="•"/>
      <w:lvlJc w:val="left"/>
      <w:pPr>
        <w:ind w:left="3404" w:hanging="360"/>
      </w:pPr>
      <w:rPr>
        <w:rFonts w:hint="default"/>
        <w:lang w:val="en-US" w:eastAsia="en-US" w:bidi="en-US"/>
      </w:rPr>
    </w:lvl>
    <w:lvl w:ilvl="8" w:tplc="2CE6E72A">
      <w:numFmt w:val="bullet"/>
      <w:lvlText w:val="•"/>
      <w:lvlJc w:val="left"/>
      <w:pPr>
        <w:ind w:left="3824" w:hanging="360"/>
      </w:pPr>
      <w:rPr>
        <w:rFonts w:hint="default"/>
        <w:lang w:val="en-US" w:eastAsia="en-US" w:bidi="en-US"/>
      </w:rPr>
    </w:lvl>
  </w:abstractNum>
  <w:abstractNum w:abstractNumId="10" w15:restartNumberingAfterBreak="0">
    <w:nsid w:val="40507F8C"/>
    <w:multiLevelType w:val="hybridMultilevel"/>
    <w:tmpl w:val="C048073A"/>
    <w:lvl w:ilvl="0" w:tplc="964C7FF0">
      <w:start w:val="1"/>
      <w:numFmt w:val="decimal"/>
      <w:lvlText w:val="%1."/>
      <w:lvlJc w:val="left"/>
      <w:pPr>
        <w:ind w:left="100" w:hanging="720"/>
      </w:pPr>
      <w:rPr>
        <w:rFonts w:ascii="Calibri" w:eastAsia="Calibri" w:hAnsi="Calibri" w:cs="Calibri" w:hint="default"/>
        <w:w w:val="100"/>
        <w:sz w:val="22"/>
        <w:szCs w:val="22"/>
        <w:lang w:val="en-US" w:eastAsia="en-US" w:bidi="en-US"/>
      </w:rPr>
    </w:lvl>
    <w:lvl w:ilvl="1" w:tplc="BAFCD53A">
      <w:numFmt w:val="bullet"/>
      <w:lvlText w:val=""/>
      <w:lvlJc w:val="left"/>
      <w:pPr>
        <w:ind w:left="820" w:hanging="360"/>
      </w:pPr>
      <w:rPr>
        <w:rFonts w:ascii="Symbol" w:eastAsia="Symbol" w:hAnsi="Symbol" w:cs="Symbol" w:hint="default"/>
        <w:w w:val="100"/>
        <w:sz w:val="22"/>
        <w:szCs w:val="22"/>
        <w:lang w:val="en-US" w:eastAsia="en-US" w:bidi="en-US"/>
      </w:rPr>
    </w:lvl>
    <w:lvl w:ilvl="2" w:tplc="8E56DE2E">
      <w:numFmt w:val="bullet"/>
      <w:lvlText w:val="•"/>
      <w:lvlJc w:val="left"/>
      <w:pPr>
        <w:ind w:left="1793" w:hanging="360"/>
      </w:pPr>
      <w:rPr>
        <w:rFonts w:hint="default"/>
        <w:lang w:val="en-US" w:eastAsia="en-US" w:bidi="en-US"/>
      </w:rPr>
    </w:lvl>
    <w:lvl w:ilvl="3" w:tplc="0F16090C">
      <w:numFmt w:val="bullet"/>
      <w:lvlText w:val="•"/>
      <w:lvlJc w:val="left"/>
      <w:pPr>
        <w:ind w:left="2766" w:hanging="360"/>
      </w:pPr>
      <w:rPr>
        <w:rFonts w:hint="default"/>
        <w:lang w:val="en-US" w:eastAsia="en-US" w:bidi="en-US"/>
      </w:rPr>
    </w:lvl>
    <w:lvl w:ilvl="4" w:tplc="84366C3C">
      <w:numFmt w:val="bullet"/>
      <w:lvlText w:val="•"/>
      <w:lvlJc w:val="left"/>
      <w:pPr>
        <w:ind w:left="3740" w:hanging="360"/>
      </w:pPr>
      <w:rPr>
        <w:rFonts w:hint="default"/>
        <w:lang w:val="en-US" w:eastAsia="en-US" w:bidi="en-US"/>
      </w:rPr>
    </w:lvl>
    <w:lvl w:ilvl="5" w:tplc="91CA8724">
      <w:numFmt w:val="bullet"/>
      <w:lvlText w:val="•"/>
      <w:lvlJc w:val="left"/>
      <w:pPr>
        <w:ind w:left="4713" w:hanging="360"/>
      </w:pPr>
      <w:rPr>
        <w:rFonts w:hint="default"/>
        <w:lang w:val="en-US" w:eastAsia="en-US" w:bidi="en-US"/>
      </w:rPr>
    </w:lvl>
    <w:lvl w:ilvl="6" w:tplc="F22E8A98">
      <w:numFmt w:val="bullet"/>
      <w:lvlText w:val="•"/>
      <w:lvlJc w:val="left"/>
      <w:pPr>
        <w:ind w:left="5686" w:hanging="360"/>
      </w:pPr>
      <w:rPr>
        <w:rFonts w:hint="default"/>
        <w:lang w:val="en-US" w:eastAsia="en-US" w:bidi="en-US"/>
      </w:rPr>
    </w:lvl>
    <w:lvl w:ilvl="7" w:tplc="588A3316">
      <w:numFmt w:val="bullet"/>
      <w:lvlText w:val="•"/>
      <w:lvlJc w:val="left"/>
      <w:pPr>
        <w:ind w:left="6660" w:hanging="360"/>
      </w:pPr>
      <w:rPr>
        <w:rFonts w:hint="default"/>
        <w:lang w:val="en-US" w:eastAsia="en-US" w:bidi="en-US"/>
      </w:rPr>
    </w:lvl>
    <w:lvl w:ilvl="8" w:tplc="40485B9A">
      <w:numFmt w:val="bullet"/>
      <w:lvlText w:val="•"/>
      <w:lvlJc w:val="left"/>
      <w:pPr>
        <w:ind w:left="7633" w:hanging="360"/>
      </w:pPr>
      <w:rPr>
        <w:rFonts w:hint="default"/>
        <w:lang w:val="en-US" w:eastAsia="en-US" w:bidi="en-US"/>
      </w:rPr>
    </w:lvl>
  </w:abstractNum>
  <w:abstractNum w:abstractNumId="11" w15:restartNumberingAfterBreak="0">
    <w:nsid w:val="42435057"/>
    <w:multiLevelType w:val="hybridMultilevel"/>
    <w:tmpl w:val="B5C49542"/>
    <w:lvl w:ilvl="0" w:tplc="8FF640A0">
      <w:start w:val="1"/>
      <w:numFmt w:val="lowerLetter"/>
      <w:lvlText w:val="(%1)"/>
      <w:lvlJc w:val="left"/>
      <w:pPr>
        <w:ind w:left="397" w:hanging="297"/>
      </w:pPr>
      <w:rPr>
        <w:rFonts w:ascii="Calibri" w:eastAsia="Calibri" w:hAnsi="Calibri" w:cs="Calibri" w:hint="default"/>
        <w:b/>
        <w:bCs/>
        <w:spacing w:val="-2"/>
        <w:w w:val="100"/>
        <w:sz w:val="22"/>
        <w:szCs w:val="22"/>
        <w:lang w:val="en-US" w:eastAsia="en-US" w:bidi="en-US"/>
      </w:rPr>
    </w:lvl>
    <w:lvl w:ilvl="1" w:tplc="9F701774">
      <w:numFmt w:val="bullet"/>
      <w:lvlText w:val=""/>
      <w:lvlJc w:val="left"/>
      <w:pPr>
        <w:ind w:left="820" w:hanging="360"/>
      </w:pPr>
      <w:rPr>
        <w:rFonts w:ascii="Symbol" w:eastAsia="Symbol" w:hAnsi="Symbol" w:cs="Symbol" w:hint="default"/>
        <w:w w:val="100"/>
        <w:sz w:val="22"/>
        <w:szCs w:val="22"/>
        <w:lang w:val="en-US" w:eastAsia="en-US" w:bidi="en-US"/>
      </w:rPr>
    </w:lvl>
    <w:lvl w:ilvl="2" w:tplc="194CEF62">
      <w:numFmt w:val="bullet"/>
      <w:lvlText w:val="•"/>
      <w:lvlJc w:val="left"/>
      <w:pPr>
        <w:ind w:left="1793" w:hanging="360"/>
      </w:pPr>
      <w:rPr>
        <w:rFonts w:hint="default"/>
        <w:lang w:val="en-US" w:eastAsia="en-US" w:bidi="en-US"/>
      </w:rPr>
    </w:lvl>
    <w:lvl w:ilvl="3" w:tplc="32484DD4">
      <w:numFmt w:val="bullet"/>
      <w:lvlText w:val="•"/>
      <w:lvlJc w:val="left"/>
      <w:pPr>
        <w:ind w:left="2766" w:hanging="360"/>
      </w:pPr>
      <w:rPr>
        <w:rFonts w:hint="default"/>
        <w:lang w:val="en-US" w:eastAsia="en-US" w:bidi="en-US"/>
      </w:rPr>
    </w:lvl>
    <w:lvl w:ilvl="4" w:tplc="10CCBF68">
      <w:numFmt w:val="bullet"/>
      <w:lvlText w:val="•"/>
      <w:lvlJc w:val="left"/>
      <w:pPr>
        <w:ind w:left="3740" w:hanging="360"/>
      </w:pPr>
      <w:rPr>
        <w:rFonts w:hint="default"/>
        <w:lang w:val="en-US" w:eastAsia="en-US" w:bidi="en-US"/>
      </w:rPr>
    </w:lvl>
    <w:lvl w:ilvl="5" w:tplc="8D08E912">
      <w:numFmt w:val="bullet"/>
      <w:lvlText w:val="•"/>
      <w:lvlJc w:val="left"/>
      <w:pPr>
        <w:ind w:left="4713" w:hanging="360"/>
      </w:pPr>
      <w:rPr>
        <w:rFonts w:hint="default"/>
        <w:lang w:val="en-US" w:eastAsia="en-US" w:bidi="en-US"/>
      </w:rPr>
    </w:lvl>
    <w:lvl w:ilvl="6" w:tplc="FA8C5068">
      <w:numFmt w:val="bullet"/>
      <w:lvlText w:val="•"/>
      <w:lvlJc w:val="left"/>
      <w:pPr>
        <w:ind w:left="5686" w:hanging="360"/>
      </w:pPr>
      <w:rPr>
        <w:rFonts w:hint="default"/>
        <w:lang w:val="en-US" w:eastAsia="en-US" w:bidi="en-US"/>
      </w:rPr>
    </w:lvl>
    <w:lvl w:ilvl="7" w:tplc="0B9002E0">
      <w:numFmt w:val="bullet"/>
      <w:lvlText w:val="•"/>
      <w:lvlJc w:val="left"/>
      <w:pPr>
        <w:ind w:left="6660" w:hanging="360"/>
      </w:pPr>
      <w:rPr>
        <w:rFonts w:hint="default"/>
        <w:lang w:val="en-US" w:eastAsia="en-US" w:bidi="en-US"/>
      </w:rPr>
    </w:lvl>
    <w:lvl w:ilvl="8" w:tplc="86E8EEF6">
      <w:numFmt w:val="bullet"/>
      <w:lvlText w:val="•"/>
      <w:lvlJc w:val="left"/>
      <w:pPr>
        <w:ind w:left="7633" w:hanging="360"/>
      </w:pPr>
      <w:rPr>
        <w:rFonts w:hint="default"/>
        <w:lang w:val="en-US" w:eastAsia="en-US" w:bidi="en-US"/>
      </w:rPr>
    </w:lvl>
  </w:abstractNum>
  <w:abstractNum w:abstractNumId="12" w15:restartNumberingAfterBreak="0">
    <w:nsid w:val="449663B9"/>
    <w:multiLevelType w:val="hybridMultilevel"/>
    <w:tmpl w:val="13260D52"/>
    <w:lvl w:ilvl="0" w:tplc="44D29B60">
      <w:numFmt w:val="bullet"/>
      <w:lvlText w:val=""/>
      <w:lvlJc w:val="left"/>
      <w:pPr>
        <w:ind w:left="467" w:hanging="360"/>
      </w:pPr>
      <w:rPr>
        <w:rFonts w:ascii="Symbol" w:eastAsia="Symbol" w:hAnsi="Symbol" w:cs="Symbol" w:hint="default"/>
        <w:w w:val="100"/>
        <w:sz w:val="16"/>
        <w:szCs w:val="16"/>
        <w:lang w:val="en-US" w:eastAsia="en-US" w:bidi="en-US"/>
      </w:rPr>
    </w:lvl>
    <w:lvl w:ilvl="1" w:tplc="46CC91E0">
      <w:numFmt w:val="bullet"/>
      <w:lvlText w:val="•"/>
      <w:lvlJc w:val="left"/>
      <w:pPr>
        <w:ind w:left="880" w:hanging="360"/>
      </w:pPr>
      <w:rPr>
        <w:rFonts w:hint="default"/>
        <w:lang w:val="en-US" w:eastAsia="en-US" w:bidi="en-US"/>
      </w:rPr>
    </w:lvl>
    <w:lvl w:ilvl="2" w:tplc="DF8A3222">
      <w:numFmt w:val="bullet"/>
      <w:lvlText w:val="•"/>
      <w:lvlJc w:val="left"/>
      <w:pPr>
        <w:ind w:left="1301" w:hanging="360"/>
      </w:pPr>
      <w:rPr>
        <w:rFonts w:hint="default"/>
        <w:lang w:val="en-US" w:eastAsia="en-US" w:bidi="en-US"/>
      </w:rPr>
    </w:lvl>
    <w:lvl w:ilvl="3" w:tplc="BC9429C0">
      <w:numFmt w:val="bullet"/>
      <w:lvlText w:val="•"/>
      <w:lvlJc w:val="left"/>
      <w:pPr>
        <w:ind w:left="1721" w:hanging="360"/>
      </w:pPr>
      <w:rPr>
        <w:rFonts w:hint="default"/>
        <w:lang w:val="en-US" w:eastAsia="en-US" w:bidi="en-US"/>
      </w:rPr>
    </w:lvl>
    <w:lvl w:ilvl="4" w:tplc="15EE97E0">
      <w:numFmt w:val="bullet"/>
      <w:lvlText w:val="•"/>
      <w:lvlJc w:val="left"/>
      <w:pPr>
        <w:ind w:left="2142" w:hanging="360"/>
      </w:pPr>
      <w:rPr>
        <w:rFonts w:hint="default"/>
        <w:lang w:val="en-US" w:eastAsia="en-US" w:bidi="en-US"/>
      </w:rPr>
    </w:lvl>
    <w:lvl w:ilvl="5" w:tplc="EB40985E">
      <w:numFmt w:val="bullet"/>
      <w:lvlText w:val="•"/>
      <w:lvlJc w:val="left"/>
      <w:pPr>
        <w:ind w:left="2563" w:hanging="360"/>
      </w:pPr>
      <w:rPr>
        <w:rFonts w:hint="default"/>
        <w:lang w:val="en-US" w:eastAsia="en-US" w:bidi="en-US"/>
      </w:rPr>
    </w:lvl>
    <w:lvl w:ilvl="6" w:tplc="FA1E1E90">
      <w:numFmt w:val="bullet"/>
      <w:lvlText w:val="•"/>
      <w:lvlJc w:val="left"/>
      <w:pPr>
        <w:ind w:left="2983" w:hanging="360"/>
      </w:pPr>
      <w:rPr>
        <w:rFonts w:hint="default"/>
        <w:lang w:val="en-US" w:eastAsia="en-US" w:bidi="en-US"/>
      </w:rPr>
    </w:lvl>
    <w:lvl w:ilvl="7" w:tplc="DF5C6BDE">
      <w:numFmt w:val="bullet"/>
      <w:lvlText w:val="•"/>
      <w:lvlJc w:val="left"/>
      <w:pPr>
        <w:ind w:left="3404" w:hanging="360"/>
      </w:pPr>
      <w:rPr>
        <w:rFonts w:hint="default"/>
        <w:lang w:val="en-US" w:eastAsia="en-US" w:bidi="en-US"/>
      </w:rPr>
    </w:lvl>
    <w:lvl w:ilvl="8" w:tplc="924E21F2">
      <w:numFmt w:val="bullet"/>
      <w:lvlText w:val="•"/>
      <w:lvlJc w:val="left"/>
      <w:pPr>
        <w:ind w:left="3824" w:hanging="360"/>
      </w:pPr>
      <w:rPr>
        <w:rFonts w:hint="default"/>
        <w:lang w:val="en-US" w:eastAsia="en-US" w:bidi="en-US"/>
      </w:rPr>
    </w:lvl>
  </w:abstractNum>
  <w:abstractNum w:abstractNumId="13" w15:restartNumberingAfterBreak="0">
    <w:nsid w:val="4CFB0BF5"/>
    <w:multiLevelType w:val="hybridMultilevel"/>
    <w:tmpl w:val="D6389AFC"/>
    <w:lvl w:ilvl="0" w:tplc="403486B8">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A4BE78C6">
      <w:numFmt w:val="bullet"/>
      <w:lvlText w:val=""/>
      <w:lvlJc w:val="left"/>
      <w:pPr>
        <w:ind w:left="1540" w:hanging="360"/>
      </w:pPr>
      <w:rPr>
        <w:rFonts w:ascii="Symbol" w:eastAsia="Symbol" w:hAnsi="Symbol" w:cs="Symbol" w:hint="default"/>
        <w:w w:val="100"/>
        <w:sz w:val="22"/>
        <w:szCs w:val="22"/>
        <w:lang w:val="en-US" w:eastAsia="en-US" w:bidi="en-US"/>
      </w:rPr>
    </w:lvl>
    <w:lvl w:ilvl="2" w:tplc="E33C07D4">
      <w:numFmt w:val="bullet"/>
      <w:lvlText w:val="•"/>
      <w:lvlJc w:val="left"/>
      <w:pPr>
        <w:ind w:left="2433" w:hanging="360"/>
      </w:pPr>
      <w:rPr>
        <w:rFonts w:hint="default"/>
        <w:lang w:val="en-US" w:eastAsia="en-US" w:bidi="en-US"/>
      </w:rPr>
    </w:lvl>
    <w:lvl w:ilvl="3" w:tplc="C122ED98">
      <w:numFmt w:val="bullet"/>
      <w:lvlText w:val="•"/>
      <w:lvlJc w:val="left"/>
      <w:pPr>
        <w:ind w:left="3326" w:hanging="360"/>
      </w:pPr>
      <w:rPr>
        <w:rFonts w:hint="default"/>
        <w:lang w:val="en-US" w:eastAsia="en-US" w:bidi="en-US"/>
      </w:rPr>
    </w:lvl>
    <w:lvl w:ilvl="4" w:tplc="8AAA1DDC">
      <w:numFmt w:val="bullet"/>
      <w:lvlText w:val="•"/>
      <w:lvlJc w:val="left"/>
      <w:pPr>
        <w:ind w:left="4220" w:hanging="360"/>
      </w:pPr>
      <w:rPr>
        <w:rFonts w:hint="default"/>
        <w:lang w:val="en-US" w:eastAsia="en-US" w:bidi="en-US"/>
      </w:rPr>
    </w:lvl>
    <w:lvl w:ilvl="5" w:tplc="C116F79E">
      <w:numFmt w:val="bullet"/>
      <w:lvlText w:val="•"/>
      <w:lvlJc w:val="left"/>
      <w:pPr>
        <w:ind w:left="5113" w:hanging="360"/>
      </w:pPr>
      <w:rPr>
        <w:rFonts w:hint="default"/>
        <w:lang w:val="en-US" w:eastAsia="en-US" w:bidi="en-US"/>
      </w:rPr>
    </w:lvl>
    <w:lvl w:ilvl="6" w:tplc="0B02C852">
      <w:numFmt w:val="bullet"/>
      <w:lvlText w:val="•"/>
      <w:lvlJc w:val="left"/>
      <w:pPr>
        <w:ind w:left="6006" w:hanging="360"/>
      </w:pPr>
      <w:rPr>
        <w:rFonts w:hint="default"/>
        <w:lang w:val="en-US" w:eastAsia="en-US" w:bidi="en-US"/>
      </w:rPr>
    </w:lvl>
    <w:lvl w:ilvl="7" w:tplc="8BE68946">
      <w:numFmt w:val="bullet"/>
      <w:lvlText w:val="•"/>
      <w:lvlJc w:val="left"/>
      <w:pPr>
        <w:ind w:left="6900" w:hanging="360"/>
      </w:pPr>
      <w:rPr>
        <w:rFonts w:hint="default"/>
        <w:lang w:val="en-US" w:eastAsia="en-US" w:bidi="en-US"/>
      </w:rPr>
    </w:lvl>
    <w:lvl w:ilvl="8" w:tplc="D3B09452">
      <w:numFmt w:val="bullet"/>
      <w:lvlText w:val="•"/>
      <w:lvlJc w:val="left"/>
      <w:pPr>
        <w:ind w:left="7793" w:hanging="360"/>
      </w:pPr>
      <w:rPr>
        <w:rFonts w:hint="default"/>
        <w:lang w:val="en-US" w:eastAsia="en-US" w:bidi="en-US"/>
      </w:rPr>
    </w:lvl>
  </w:abstractNum>
  <w:abstractNum w:abstractNumId="14" w15:restartNumberingAfterBreak="0">
    <w:nsid w:val="4F4C5F1D"/>
    <w:multiLevelType w:val="hybridMultilevel"/>
    <w:tmpl w:val="8BD4EBEA"/>
    <w:lvl w:ilvl="0" w:tplc="F3B62498">
      <w:start w:val="1"/>
      <w:numFmt w:val="lowerRoman"/>
      <w:lvlText w:val="(%1)"/>
      <w:lvlJc w:val="left"/>
      <w:pPr>
        <w:ind w:left="107" w:hanging="286"/>
      </w:pPr>
      <w:rPr>
        <w:rFonts w:asciiTheme="minorHAnsi" w:eastAsia="Times New Roman" w:hAnsiTheme="minorHAnsi" w:cstheme="minorHAnsi" w:hint="default"/>
        <w:spacing w:val="-1"/>
        <w:w w:val="100"/>
        <w:sz w:val="16"/>
        <w:szCs w:val="16"/>
        <w:lang w:val="en-US" w:eastAsia="en-US" w:bidi="en-US"/>
      </w:rPr>
    </w:lvl>
    <w:lvl w:ilvl="1" w:tplc="16FAD8C6">
      <w:numFmt w:val="bullet"/>
      <w:lvlText w:val="•"/>
      <w:lvlJc w:val="left"/>
      <w:pPr>
        <w:ind w:left="556" w:hanging="286"/>
      </w:pPr>
      <w:rPr>
        <w:rFonts w:hint="default"/>
        <w:lang w:val="en-US" w:eastAsia="en-US" w:bidi="en-US"/>
      </w:rPr>
    </w:lvl>
    <w:lvl w:ilvl="2" w:tplc="A91AB798">
      <w:numFmt w:val="bullet"/>
      <w:lvlText w:val="•"/>
      <w:lvlJc w:val="left"/>
      <w:pPr>
        <w:ind w:left="1013" w:hanging="286"/>
      </w:pPr>
      <w:rPr>
        <w:rFonts w:hint="default"/>
        <w:lang w:val="en-US" w:eastAsia="en-US" w:bidi="en-US"/>
      </w:rPr>
    </w:lvl>
    <w:lvl w:ilvl="3" w:tplc="C144D8DE">
      <w:numFmt w:val="bullet"/>
      <w:lvlText w:val="•"/>
      <w:lvlJc w:val="left"/>
      <w:pPr>
        <w:ind w:left="1469" w:hanging="286"/>
      </w:pPr>
      <w:rPr>
        <w:rFonts w:hint="default"/>
        <w:lang w:val="en-US" w:eastAsia="en-US" w:bidi="en-US"/>
      </w:rPr>
    </w:lvl>
    <w:lvl w:ilvl="4" w:tplc="4F44719C">
      <w:numFmt w:val="bullet"/>
      <w:lvlText w:val="•"/>
      <w:lvlJc w:val="left"/>
      <w:pPr>
        <w:ind w:left="1926" w:hanging="286"/>
      </w:pPr>
      <w:rPr>
        <w:rFonts w:hint="default"/>
        <w:lang w:val="en-US" w:eastAsia="en-US" w:bidi="en-US"/>
      </w:rPr>
    </w:lvl>
    <w:lvl w:ilvl="5" w:tplc="05AAC9B0">
      <w:numFmt w:val="bullet"/>
      <w:lvlText w:val="•"/>
      <w:lvlJc w:val="left"/>
      <w:pPr>
        <w:ind w:left="2383" w:hanging="286"/>
      </w:pPr>
      <w:rPr>
        <w:rFonts w:hint="default"/>
        <w:lang w:val="en-US" w:eastAsia="en-US" w:bidi="en-US"/>
      </w:rPr>
    </w:lvl>
    <w:lvl w:ilvl="6" w:tplc="DE68C7BA">
      <w:numFmt w:val="bullet"/>
      <w:lvlText w:val="•"/>
      <w:lvlJc w:val="left"/>
      <w:pPr>
        <w:ind w:left="2839" w:hanging="286"/>
      </w:pPr>
      <w:rPr>
        <w:rFonts w:hint="default"/>
        <w:lang w:val="en-US" w:eastAsia="en-US" w:bidi="en-US"/>
      </w:rPr>
    </w:lvl>
    <w:lvl w:ilvl="7" w:tplc="A4DE58FE">
      <w:numFmt w:val="bullet"/>
      <w:lvlText w:val="•"/>
      <w:lvlJc w:val="left"/>
      <w:pPr>
        <w:ind w:left="3296" w:hanging="286"/>
      </w:pPr>
      <w:rPr>
        <w:rFonts w:hint="default"/>
        <w:lang w:val="en-US" w:eastAsia="en-US" w:bidi="en-US"/>
      </w:rPr>
    </w:lvl>
    <w:lvl w:ilvl="8" w:tplc="765884EA">
      <w:numFmt w:val="bullet"/>
      <w:lvlText w:val="•"/>
      <w:lvlJc w:val="left"/>
      <w:pPr>
        <w:ind w:left="3752" w:hanging="286"/>
      </w:pPr>
      <w:rPr>
        <w:rFonts w:hint="default"/>
        <w:lang w:val="en-US" w:eastAsia="en-US" w:bidi="en-US"/>
      </w:rPr>
    </w:lvl>
  </w:abstractNum>
  <w:abstractNum w:abstractNumId="15" w15:restartNumberingAfterBreak="0">
    <w:nsid w:val="4F6A5EF7"/>
    <w:multiLevelType w:val="hybridMultilevel"/>
    <w:tmpl w:val="DE2861B0"/>
    <w:lvl w:ilvl="0" w:tplc="F9327D92">
      <w:start w:val="1"/>
      <w:numFmt w:val="lowerLetter"/>
      <w:lvlText w:val="%1)"/>
      <w:lvlJc w:val="left"/>
      <w:pPr>
        <w:ind w:left="1900" w:hanging="360"/>
      </w:pPr>
      <w:rPr>
        <w:rFonts w:ascii="Calibri" w:eastAsia="Calibri" w:hAnsi="Calibri" w:cs="Calibri" w:hint="default"/>
        <w:spacing w:val="-1"/>
        <w:w w:val="100"/>
        <w:sz w:val="22"/>
        <w:szCs w:val="22"/>
        <w:lang w:val="en-US" w:eastAsia="en-US" w:bidi="en-US"/>
      </w:rPr>
    </w:lvl>
    <w:lvl w:ilvl="1" w:tplc="EFC602A6">
      <w:numFmt w:val="bullet"/>
      <w:lvlText w:val="•"/>
      <w:lvlJc w:val="left"/>
      <w:pPr>
        <w:ind w:left="2668" w:hanging="360"/>
      </w:pPr>
      <w:rPr>
        <w:rFonts w:hint="default"/>
        <w:lang w:val="en-US" w:eastAsia="en-US" w:bidi="en-US"/>
      </w:rPr>
    </w:lvl>
    <w:lvl w:ilvl="2" w:tplc="D996E6E4">
      <w:numFmt w:val="bullet"/>
      <w:lvlText w:val="•"/>
      <w:lvlJc w:val="left"/>
      <w:pPr>
        <w:ind w:left="3436" w:hanging="360"/>
      </w:pPr>
      <w:rPr>
        <w:rFonts w:hint="default"/>
        <w:lang w:val="en-US" w:eastAsia="en-US" w:bidi="en-US"/>
      </w:rPr>
    </w:lvl>
    <w:lvl w:ilvl="3" w:tplc="7F1E243A">
      <w:numFmt w:val="bullet"/>
      <w:lvlText w:val="•"/>
      <w:lvlJc w:val="left"/>
      <w:pPr>
        <w:ind w:left="4204" w:hanging="360"/>
      </w:pPr>
      <w:rPr>
        <w:rFonts w:hint="default"/>
        <w:lang w:val="en-US" w:eastAsia="en-US" w:bidi="en-US"/>
      </w:rPr>
    </w:lvl>
    <w:lvl w:ilvl="4" w:tplc="426CAA08">
      <w:numFmt w:val="bullet"/>
      <w:lvlText w:val="•"/>
      <w:lvlJc w:val="left"/>
      <w:pPr>
        <w:ind w:left="4972" w:hanging="360"/>
      </w:pPr>
      <w:rPr>
        <w:rFonts w:hint="default"/>
        <w:lang w:val="en-US" w:eastAsia="en-US" w:bidi="en-US"/>
      </w:rPr>
    </w:lvl>
    <w:lvl w:ilvl="5" w:tplc="76342658">
      <w:numFmt w:val="bullet"/>
      <w:lvlText w:val="•"/>
      <w:lvlJc w:val="left"/>
      <w:pPr>
        <w:ind w:left="5740" w:hanging="360"/>
      </w:pPr>
      <w:rPr>
        <w:rFonts w:hint="default"/>
        <w:lang w:val="en-US" w:eastAsia="en-US" w:bidi="en-US"/>
      </w:rPr>
    </w:lvl>
    <w:lvl w:ilvl="6" w:tplc="41B655E0">
      <w:numFmt w:val="bullet"/>
      <w:lvlText w:val="•"/>
      <w:lvlJc w:val="left"/>
      <w:pPr>
        <w:ind w:left="6508" w:hanging="360"/>
      </w:pPr>
      <w:rPr>
        <w:rFonts w:hint="default"/>
        <w:lang w:val="en-US" w:eastAsia="en-US" w:bidi="en-US"/>
      </w:rPr>
    </w:lvl>
    <w:lvl w:ilvl="7" w:tplc="0B18F574">
      <w:numFmt w:val="bullet"/>
      <w:lvlText w:val="•"/>
      <w:lvlJc w:val="left"/>
      <w:pPr>
        <w:ind w:left="7276" w:hanging="360"/>
      </w:pPr>
      <w:rPr>
        <w:rFonts w:hint="default"/>
        <w:lang w:val="en-US" w:eastAsia="en-US" w:bidi="en-US"/>
      </w:rPr>
    </w:lvl>
    <w:lvl w:ilvl="8" w:tplc="27BA8844">
      <w:numFmt w:val="bullet"/>
      <w:lvlText w:val="•"/>
      <w:lvlJc w:val="left"/>
      <w:pPr>
        <w:ind w:left="8044" w:hanging="360"/>
      </w:pPr>
      <w:rPr>
        <w:rFonts w:hint="default"/>
        <w:lang w:val="en-US" w:eastAsia="en-US" w:bidi="en-US"/>
      </w:rPr>
    </w:lvl>
  </w:abstractNum>
  <w:abstractNum w:abstractNumId="16" w15:restartNumberingAfterBreak="0">
    <w:nsid w:val="514043CE"/>
    <w:multiLevelType w:val="hybridMultilevel"/>
    <w:tmpl w:val="1E003FF4"/>
    <w:lvl w:ilvl="0" w:tplc="D1BE0544">
      <w:start w:val="1"/>
      <w:numFmt w:val="lowerLetter"/>
      <w:lvlText w:val="(%1)"/>
      <w:lvlJc w:val="left"/>
      <w:pPr>
        <w:ind w:left="107" w:hanging="329"/>
      </w:pPr>
      <w:rPr>
        <w:rFonts w:asciiTheme="minorHAnsi" w:eastAsia="Times New Roman" w:hAnsiTheme="minorHAnsi" w:cstheme="minorHAnsi" w:hint="default"/>
        <w:spacing w:val="-1"/>
        <w:w w:val="100"/>
        <w:sz w:val="16"/>
        <w:szCs w:val="16"/>
        <w:lang w:val="en-US" w:eastAsia="en-US" w:bidi="en-US"/>
      </w:rPr>
    </w:lvl>
    <w:lvl w:ilvl="1" w:tplc="20582526">
      <w:numFmt w:val="bullet"/>
      <w:lvlText w:val="•"/>
      <w:lvlJc w:val="left"/>
      <w:pPr>
        <w:ind w:left="556" w:hanging="329"/>
      </w:pPr>
      <w:rPr>
        <w:rFonts w:hint="default"/>
        <w:lang w:val="en-US" w:eastAsia="en-US" w:bidi="en-US"/>
      </w:rPr>
    </w:lvl>
    <w:lvl w:ilvl="2" w:tplc="92DEF208">
      <w:numFmt w:val="bullet"/>
      <w:lvlText w:val="•"/>
      <w:lvlJc w:val="left"/>
      <w:pPr>
        <w:ind w:left="1013" w:hanging="329"/>
      </w:pPr>
      <w:rPr>
        <w:rFonts w:hint="default"/>
        <w:lang w:val="en-US" w:eastAsia="en-US" w:bidi="en-US"/>
      </w:rPr>
    </w:lvl>
    <w:lvl w:ilvl="3" w:tplc="B2889728">
      <w:numFmt w:val="bullet"/>
      <w:lvlText w:val="•"/>
      <w:lvlJc w:val="left"/>
      <w:pPr>
        <w:ind w:left="1469" w:hanging="329"/>
      </w:pPr>
      <w:rPr>
        <w:rFonts w:hint="default"/>
        <w:lang w:val="en-US" w:eastAsia="en-US" w:bidi="en-US"/>
      </w:rPr>
    </w:lvl>
    <w:lvl w:ilvl="4" w:tplc="57E0813E">
      <w:numFmt w:val="bullet"/>
      <w:lvlText w:val="•"/>
      <w:lvlJc w:val="left"/>
      <w:pPr>
        <w:ind w:left="1926" w:hanging="329"/>
      </w:pPr>
      <w:rPr>
        <w:rFonts w:hint="default"/>
        <w:lang w:val="en-US" w:eastAsia="en-US" w:bidi="en-US"/>
      </w:rPr>
    </w:lvl>
    <w:lvl w:ilvl="5" w:tplc="98769562">
      <w:numFmt w:val="bullet"/>
      <w:lvlText w:val="•"/>
      <w:lvlJc w:val="left"/>
      <w:pPr>
        <w:ind w:left="2383" w:hanging="329"/>
      </w:pPr>
      <w:rPr>
        <w:rFonts w:hint="default"/>
        <w:lang w:val="en-US" w:eastAsia="en-US" w:bidi="en-US"/>
      </w:rPr>
    </w:lvl>
    <w:lvl w:ilvl="6" w:tplc="6B12F4D6">
      <w:numFmt w:val="bullet"/>
      <w:lvlText w:val="•"/>
      <w:lvlJc w:val="left"/>
      <w:pPr>
        <w:ind w:left="2839" w:hanging="329"/>
      </w:pPr>
      <w:rPr>
        <w:rFonts w:hint="default"/>
        <w:lang w:val="en-US" w:eastAsia="en-US" w:bidi="en-US"/>
      </w:rPr>
    </w:lvl>
    <w:lvl w:ilvl="7" w:tplc="541E9002">
      <w:numFmt w:val="bullet"/>
      <w:lvlText w:val="•"/>
      <w:lvlJc w:val="left"/>
      <w:pPr>
        <w:ind w:left="3296" w:hanging="329"/>
      </w:pPr>
      <w:rPr>
        <w:rFonts w:hint="default"/>
        <w:lang w:val="en-US" w:eastAsia="en-US" w:bidi="en-US"/>
      </w:rPr>
    </w:lvl>
    <w:lvl w:ilvl="8" w:tplc="2CAAE02E">
      <w:numFmt w:val="bullet"/>
      <w:lvlText w:val="•"/>
      <w:lvlJc w:val="left"/>
      <w:pPr>
        <w:ind w:left="3752" w:hanging="329"/>
      </w:pPr>
      <w:rPr>
        <w:rFonts w:hint="default"/>
        <w:lang w:val="en-US" w:eastAsia="en-US" w:bidi="en-US"/>
      </w:rPr>
    </w:lvl>
  </w:abstractNum>
  <w:abstractNum w:abstractNumId="17" w15:restartNumberingAfterBreak="0">
    <w:nsid w:val="583B19EF"/>
    <w:multiLevelType w:val="hybridMultilevel"/>
    <w:tmpl w:val="22DA713C"/>
    <w:lvl w:ilvl="0" w:tplc="65E698DE">
      <w:start w:val="1"/>
      <w:numFmt w:val="upperLetter"/>
      <w:lvlText w:val="%1."/>
      <w:lvlJc w:val="left"/>
      <w:pPr>
        <w:ind w:left="460" w:hanging="360"/>
      </w:pPr>
      <w:rPr>
        <w:rFonts w:ascii="Calibri" w:eastAsia="Calibri" w:hAnsi="Calibri" w:cs="Calibri" w:hint="default"/>
        <w:b/>
        <w:bCs/>
        <w:w w:val="100"/>
        <w:sz w:val="22"/>
        <w:szCs w:val="22"/>
        <w:lang w:val="en-US" w:eastAsia="en-US" w:bidi="en-US"/>
      </w:rPr>
    </w:lvl>
    <w:lvl w:ilvl="1" w:tplc="F51021A0">
      <w:start w:val="1"/>
      <w:numFmt w:val="decimal"/>
      <w:lvlText w:val="%2."/>
      <w:lvlJc w:val="left"/>
      <w:pPr>
        <w:ind w:left="820" w:hanging="360"/>
      </w:pPr>
      <w:rPr>
        <w:rFonts w:ascii="Calibri" w:eastAsia="Calibri" w:hAnsi="Calibri" w:cs="Calibri" w:hint="default"/>
        <w:w w:val="100"/>
        <w:sz w:val="22"/>
        <w:szCs w:val="22"/>
        <w:lang w:val="en-US" w:eastAsia="en-US" w:bidi="en-US"/>
      </w:rPr>
    </w:lvl>
    <w:lvl w:ilvl="2" w:tplc="7A42C420">
      <w:numFmt w:val="bullet"/>
      <w:lvlText w:val=""/>
      <w:lvlJc w:val="left"/>
      <w:pPr>
        <w:ind w:left="1540" w:hanging="360"/>
      </w:pPr>
      <w:rPr>
        <w:rFonts w:ascii="Symbol" w:eastAsia="Symbol" w:hAnsi="Symbol" w:cs="Symbol" w:hint="default"/>
        <w:w w:val="100"/>
        <w:sz w:val="22"/>
        <w:szCs w:val="22"/>
        <w:lang w:val="en-US" w:eastAsia="en-US" w:bidi="en-US"/>
      </w:rPr>
    </w:lvl>
    <w:lvl w:ilvl="3" w:tplc="AE0A2A30">
      <w:numFmt w:val="bullet"/>
      <w:lvlText w:val="•"/>
      <w:lvlJc w:val="left"/>
      <w:pPr>
        <w:ind w:left="2545" w:hanging="360"/>
      </w:pPr>
      <w:rPr>
        <w:rFonts w:hint="default"/>
        <w:lang w:val="en-US" w:eastAsia="en-US" w:bidi="en-US"/>
      </w:rPr>
    </w:lvl>
    <w:lvl w:ilvl="4" w:tplc="ED0C70D0">
      <w:numFmt w:val="bullet"/>
      <w:lvlText w:val="•"/>
      <w:lvlJc w:val="left"/>
      <w:pPr>
        <w:ind w:left="3550" w:hanging="360"/>
      </w:pPr>
      <w:rPr>
        <w:rFonts w:hint="default"/>
        <w:lang w:val="en-US" w:eastAsia="en-US" w:bidi="en-US"/>
      </w:rPr>
    </w:lvl>
    <w:lvl w:ilvl="5" w:tplc="67602F02">
      <w:numFmt w:val="bullet"/>
      <w:lvlText w:val="•"/>
      <w:lvlJc w:val="left"/>
      <w:pPr>
        <w:ind w:left="4555" w:hanging="360"/>
      </w:pPr>
      <w:rPr>
        <w:rFonts w:hint="default"/>
        <w:lang w:val="en-US" w:eastAsia="en-US" w:bidi="en-US"/>
      </w:rPr>
    </w:lvl>
    <w:lvl w:ilvl="6" w:tplc="A904A976">
      <w:numFmt w:val="bullet"/>
      <w:lvlText w:val="•"/>
      <w:lvlJc w:val="left"/>
      <w:pPr>
        <w:ind w:left="5560" w:hanging="360"/>
      </w:pPr>
      <w:rPr>
        <w:rFonts w:hint="default"/>
        <w:lang w:val="en-US" w:eastAsia="en-US" w:bidi="en-US"/>
      </w:rPr>
    </w:lvl>
    <w:lvl w:ilvl="7" w:tplc="A522BD80">
      <w:numFmt w:val="bullet"/>
      <w:lvlText w:val="•"/>
      <w:lvlJc w:val="left"/>
      <w:pPr>
        <w:ind w:left="6565" w:hanging="360"/>
      </w:pPr>
      <w:rPr>
        <w:rFonts w:hint="default"/>
        <w:lang w:val="en-US" w:eastAsia="en-US" w:bidi="en-US"/>
      </w:rPr>
    </w:lvl>
    <w:lvl w:ilvl="8" w:tplc="64E65366">
      <w:numFmt w:val="bullet"/>
      <w:lvlText w:val="•"/>
      <w:lvlJc w:val="left"/>
      <w:pPr>
        <w:ind w:left="7570" w:hanging="360"/>
      </w:pPr>
      <w:rPr>
        <w:rFonts w:hint="default"/>
        <w:lang w:val="en-US" w:eastAsia="en-US" w:bidi="en-US"/>
      </w:rPr>
    </w:lvl>
  </w:abstractNum>
  <w:abstractNum w:abstractNumId="18" w15:restartNumberingAfterBreak="0">
    <w:nsid w:val="61BC3B1A"/>
    <w:multiLevelType w:val="hybridMultilevel"/>
    <w:tmpl w:val="143462DE"/>
    <w:lvl w:ilvl="0" w:tplc="6632EE56">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153AD5C4">
      <w:numFmt w:val="bullet"/>
      <w:lvlText w:val=""/>
      <w:lvlJc w:val="left"/>
      <w:pPr>
        <w:ind w:left="1540" w:hanging="360"/>
      </w:pPr>
      <w:rPr>
        <w:rFonts w:ascii="Symbol" w:eastAsia="Symbol" w:hAnsi="Symbol" w:cs="Symbol" w:hint="default"/>
        <w:w w:val="100"/>
        <w:sz w:val="22"/>
        <w:szCs w:val="22"/>
        <w:lang w:val="en-US" w:eastAsia="en-US" w:bidi="en-US"/>
      </w:rPr>
    </w:lvl>
    <w:lvl w:ilvl="2" w:tplc="385227DA">
      <w:numFmt w:val="bullet"/>
      <w:lvlText w:val="•"/>
      <w:lvlJc w:val="left"/>
      <w:pPr>
        <w:ind w:left="2433" w:hanging="360"/>
      </w:pPr>
      <w:rPr>
        <w:rFonts w:hint="default"/>
        <w:lang w:val="en-US" w:eastAsia="en-US" w:bidi="en-US"/>
      </w:rPr>
    </w:lvl>
    <w:lvl w:ilvl="3" w:tplc="21B8F194">
      <w:numFmt w:val="bullet"/>
      <w:lvlText w:val="•"/>
      <w:lvlJc w:val="left"/>
      <w:pPr>
        <w:ind w:left="3326" w:hanging="360"/>
      </w:pPr>
      <w:rPr>
        <w:rFonts w:hint="default"/>
        <w:lang w:val="en-US" w:eastAsia="en-US" w:bidi="en-US"/>
      </w:rPr>
    </w:lvl>
    <w:lvl w:ilvl="4" w:tplc="69DA4FBE">
      <w:numFmt w:val="bullet"/>
      <w:lvlText w:val="•"/>
      <w:lvlJc w:val="left"/>
      <w:pPr>
        <w:ind w:left="4220" w:hanging="360"/>
      </w:pPr>
      <w:rPr>
        <w:rFonts w:hint="default"/>
        <w:lang w:val="en-US" w:eastAsia="en-US" w:bidi="en-US"/>
      </w:rPr>
    </w:lvl>
    <w:lvl w:ilvl="5" w:tplc="8E04B59A">
      <w:numFmt w:val="bullet"/>
      <w:lvlText w:val="•"/>
      <w:lvlJc w:val="left"/>
      <w:pPr>
        <w:ind w:left="5113" w:hanging="360"/>
      </w:pPr>
      <w:rPr>
        <w:rFonts w:hint="default"/>
        <w:lang w:val="en-US" w:eastAsia="en-US" w:bidi="en-US"/>
      </w:rPr>
    </w:lvl>
    <w:lvl w:ilvl="6" w:tplc="6E6CAE22">
      <w:numFmt w:val="bullet"/>
      <w:lvlText w:val="•"/>
      <w:lvlJc w:val="left"/>
      <w:pPr>
        <w:ind w:left="6006" w:hanging="360"/>
      </w:pPr>
      <w:rPr>
        <w:rFonts w:hint="default"/>
        <w:lang w:val="en-US" w:eastAsia="en-US" w:bidi="en-US"/>
      </w:rPr>
    </w:lvl>
    <w:lvl w:ilvl="7" w:tplc="CE7848DC">
      <w:numFmt w:val="bullet"/>
      <w:lvlText w:val="•"/>
      <w:lvlJc w:val="left"/>
      <w:pPr>
        <w:ind w:left="6900" w:hanging="360"/>
      </w:pPr>
      <w:rPr>
        <w:rFonts w:hint="default"/>
        <w:lang w:val="en-US" w:eastAsia="en-US" w:bidi="en-US"/>
      </w:rPr>
    </w:lvl>
    <w:lvl w:ilvl="8" w:tplc="8B22FEA2">
      <w:numFmt w:val="bullet"/>
      <w:lvlText w:val="•"/>
      <w:lvlJc w:val="left"/>
      <w:pPr>
        <w:ind w:left="7793" w:hanging="360"/>
      </w:pPr>
      <w:rPr>
        <w:rFonts w:hint="default"/>
        <w:lang w:val="en-US" w:eastAsia="en-US" w:bidi="en-US"/>
      </w:rPr>
    </w:lvl>
  </w:abstractNum>
  <w:abstractNum w:abstractNumId="19" w15:restartNumberingAfterBreak="0">
    <w:nsid w:val="62AD4749"/>
    <w:multiLevelType w:val="hybridMultilevel"/>
    <w:tmpl w:val="DD0CB3DA"/>
    <w:lvl w:ilvl="0" w:tplc="2228E01C">
      <w:start w:val="1"/>
      <w:numFmt w:val="lowerRoman"/>
      <w:lvlText w:val="(%1)"/>
      <w:lvlJc w:val="left"/>
      <w:pPr>
        <w:ind w:left="107" w:hanging="195"/>
      </w:pPr>
      <w:rPr>
        <w:rFonts w:asciiTheme="minorHAnsi" w:eastAsia="Times New Roman" w:hAnsiTheme="minorHAnsi" w:cstheme="minorHAnsi" w:hint="default"/>
        <w:spacing w:val="-1"/>
        <w:w w:val="100"/>
        <w:sz w:val="16"/>
        <w:szCs w:val="16"/>
        <w:lang w:val="en-US" w:eastAsia="en-US" w:bidi="en-US"/>
      </w:rPr>
    </w:lvl>
    <w:lvl w:ilvl="1" w:tplc="3788EFD6">
      <w:numFmt w:val="bullet"/>
      <w:lvlText w:val="•"/>
      <w:lvlJc w:val="left"/>
      <w:pPr>
        <w:ind w:left="556" w:hanging="195"/>
      </w:pPr>
      <w:rPr>
        <w:rFonts w:hint="default"/>
        <w:lang w:val="en-US" w:eastAsia="en-US" w:bidi="en-US"/>
      </w:rPr>
    </w:lvl>
    <w:lvl w:ilvl="2" w:tplc="6F1E3FC6">
      <w:numFmt w:val="bullet"/>
      <w:lvlText w:val="•"/>
      <w:lvlJc w:val="left"/>
      <w:pPr>
        <w:ind w:left="1013" w:hanging="195"/>
      </w:pPr>
      <w:rPr>
        <w:rFonts w:hint="default"/>
        <w:lang w:val="en-US" w:eastAsia="en-US" w:bidi="en-US"/>
      </w:rPr>
    </w:lvl>
    <w:lvl w:ilvl="3" w:tplc="E5603D68">
      <w:numFmt w:val="bullet"/>
      <w:lvlText w:val="•"/>
      <w:lvlJc w:val="left"/>
      <w:pPr>
        <w:ind w:left="1469" w:hanging="195"/>
      </w:pPr>
      <w:rPr>
        <w:rFonts w:hint="default"/>
        <w:lang w:val="en-US" w:eastAsia="en-US" w:bidi="en-US"/>
      </w:rPr>
    </w:lvl>
    <w:lvl w:ilvl="4" w:tplc="1CD2F7D6">
      <w:numFmt w:val="bullet"/>
      <w:lvlText w:val="•"/>
      <w:lvlJc w:val="left"/>
      <w:pPr>
        <w:ind w:left="1926" w:hanging="195"/>
      </w:pPr>
      <w:rPr>
        <w:rFonts w:hint="default"/>
        <w:lang w:val="en-US" w:eastAsia="en-US" w:bidi="en-US"/>
      </w:rPr>
    </w:lvl>
    <w:lvl w:ilvl="5" w:tplc="6F301C4A">
      <w:numFmt w:val="bullet"/>
      <w:lvlText w:val="•"/>
      <w:lvlJc w:val="left"/>
      <w:pPr>
        <w:ind w:left="2383" w:hanging="195"/>
      </w:pPr>
      <w:rPr>
        <w:rFonts w:hint="default"/>
        <w:lang w:val="en-US" w:eastAsia="en-US" w:bidi="en-US"/>
      </w:rPr>
    </w:lvl>
    <w:lvl w:ilvl="6" w:tplc="B734F3A4">
      <w:numFmt w:val="bullet"/>
      <w:lvlText w:val="•"/>
      <w:lvlJc w:val="left"/>
      <w:pPr>
        <w:ind w:left="2839" w:hanging="195"/>
      </w:pPr>
      <w:rPr>
        <w:rFonts w:hint="default"/>
        <w:lang w:val="en-US" w:eastAsia="en-US" w:bidi="en-US"/>
      </w:rPr>
    </w:lvl>
    <w:lvl w:ilvl="7" w:tplc="9498FCEE">
      <w:numFmt w:val="bullet"/>
      <w:lvlText w:val="•"/>
      <w:lvlJc w:val="left"/>
      <w:pPr>
        <w:ind w:left="3296" w:hanging="195"/>
      </w:pPr>
      <w:rPr>
        <w:rFonts w:hint="default"/>
        <w:lang w:val="en-US" w:eastAsia="en-US" w:bidi="en-US"/>
      </w:rPr>
    </w:lvl>
    <w:lvl w:ilvl="8" w:tplc="C9D6CCFA">
      <w:numFmt w:val="bullet"/>
      <w:lvlText w:val="•"/>
      <w:lvlJc w:val="left"/>
      <w:pPr>
        <w:ind w:left="3752" w:hanging="195"/>
      </w:pPr>
      <w:rPr>
        <w:rFonts w:hint="default"/>
        <w:lang w:val="en-US" w:eastAsia="en-US" w:bidi="en-US"/>
      </w:rPr>
    </w:lvl>
  </w:abstractNum>
  <w:abstractNum w:abstractNumId="20" w15:restartNumberingAfterBreak="0">
    <w:nsid w:val="70D44BDA"/>
    <w:multiLevelType w:val="hybridMultilevel"/>
    <w:tmpl w:val="B0E27236"/>
    <w:lvl w:ilvl="0" w:tplc="036C9C8A">
      <w:start w:val="1"/>
      <w:numFmt w:val="lowerRoman"/>
      <w:lvlText w:val="(%1)"/>
      <w:lvlJc w:val="left"/>
      <w:pPr>
        <w:ind w:left="107" w:hanging="341"/>
      </w:pPr>
      <w:rPr>
        <w:rFonts w:asciiTheme="minorHAnsi" w:eastAsia="Times New Roman" w:hAnsiTheme="minorHAnsi" w:cstheme="minorHAnsi" w:hint="default"/>
        <w:spacing w:val="-1"/>
        <w:w w:val="100"/>
        <w:sz w:val="16"/>
        <w:szCs w:val="16"/>
        <w:lang w:val="en-US" w:eastAsia="en-US" w:bidi="en-US"/>
      </w:rPr>
    </w:lvl>
    <w:lvl w:ilvl="1" w:tplc="7E2E4942">
      <w:numFmt w:val="bullet"/>
      <w:lvlText w:val="•"/>
      <w:lvlJc w:val="left"/>
      <w:pPr>
        <w:ind w:left="556" w:hanging="341"/>
      </w:pPr>
      <w:rPr>
        <w:rFonts w:hint="default"/>
        <w:lang w:val="en-US" w:eastAsia="en-US" w:bidi="en-US"/>
      </w:rPr>
    </w:lvl>
    <w:lvl w:ilvl="2" w:tplc="E5360B02">
      <w:numFmt w:val="bullet"/>
      <w:lvlText w:val="•"/>
      <w:lvlJc w:val="left"/>
      <w:pPr>
        <w:ind w:left="1013" w:hanging="341"/>
      </w:pPr>
      <w:rPr>
        <w:rFonts w:hint="default"/>
        <w:lang w:val="en-US" w:eastAsia="en-US" w:bidi="en-US"/>
      </w:rPr>
    </w:lvl>
    <w:lvl w:ilvl="3" w:tplc="CA7812B8">
      <w:numFmt w:val="bullet"/>
      <w:lvlText w:val="•"/>
      <w:lvlJc w:val="left"/>
      <w:pPr>
        <w:ind w:left="1469" w:hanging="341"/>
      </w:pPr>
      <w:rPr>
        <w:rFonts w:hint="default"/>
        <w:lang w:val="en-US" w:eastAsia="en-US" w:bidi="en-US"/>
      </w:rPr>
    </w:lvl>
    <w:lvl w:ilvl="4" w:tplc="9BE40750">
      <w:numFmt w:val="bullet"/>
      <w:lvlText w:val="•"/>
      <w:lvlJc w:val="left"/>
      <w:pPr>
        <w:ind w:left="1926" w:hanging="341"/>
      </w:pPr>
      <w:rPr>
        <w:rFonts w:hint="default"/>
        <w:lang w:val="en-US" w:eastAsia="en-US" w:bidi="en-US"/>
      </w:rPr>
    </w:lvl>
    <w:lvl w:ilvl="5" w:tplc="D38C5E26">
      <w:numFmt w:val="bullet"/>
      <w:lvlText w:val="•"/>
      <w:lvlJc w:val="left"/>
      <w:pPr>
        <w:ind w:left="2383" w:hanging="341"/>
      </w:pPr>
      <w:rPr>
        <w:rFonts w:hint="default"/>
        <w:lang w:val="en-US" w:eastAsia="en-US" w:bidi="en-US"/>
      </w:rPr>
    </w:lvl>
    <w:lvl w:ilvl="6" w:tplc="37B8F218">
      <w:numFmt w:val="bullet"/>
      <w:lvlText w:val="•"/>
      <w:lvlJc w:val="left"/>
      <w:pPr>
        <w:ind w:left="2839" w:hanging="341"/>
      </w:pPr>
      <w:rPr>
        <w:rFonts w:hint="default"/>
        <w:lang w:val="en-US" w:eastAsia="en-US" w:bidi="en-US"/>
      </w:rPr>
    </w:lvl>
    <w:lvl w:ilvl="7" w:tplc="42BC7D76">
      <w:numFmt w:val="bullet"/>
      <w:lvlText w:val="•"/>
      <w:lvlJc w:val="left"/>
      <w:pPr>
        <w:ind w:left="3296" w:hanging="341"/>
      </w:pPr>
      <w:rPr>
        <w:rFonts w:hint="default"/>
        <w:lang w:val="en-US" w:eastAsia="en-US" w:bidi="en-US"/>
      </w:rPr>
    </w:lvl>
    <w:lvl w:ilvl="8" w:tplc="B760539C">
      <w:numFmt w:val="bullet"/>
      <w:lvlText w:val="•"/>
      <w:lvlJc w:val="left"/>
      <w:pPr>
        <w:ind w:left="3752" w:hanging="341"/>
      </w:pPr>
      <w:rPr>
        <w:rFonts w:hint="default"/>
        <w:lang w:val="en-US" w:eastAsia="en-US" w:bidi="en-US"/>
      </w:rPr>
    </w:lvl>
  </w:abstractNum>
  <w:abstractNum w:abstractNumId="21" w15:restartNumberingAfterBreak="0">
    <w:nsid w:val="7521341A"/>
    <w:multiLevelType w:val="hybridMultilevel"/>
    <w:tmpl w:val="FB98B2A8"/>
    <w:lvl w:ilvl="0" w:tplc="4BFA2C00">
      <w:start w:val="2"/>
      <w:numFmt w:val="upperRoman"/>
      <w:lvlText w:val="%1."/>
      <w:lvlJc w:val="left"/>
      <w:pPr>
        <w:ind w:left="107" w:hanging="262"/>
      </w:pPr>
      <w:rPr>
        <w:rFonts w:ascii="Calibri" w:eastAsia="Calibri" w:hAnsi="Calibri" w:cs="Calibri" w:hint="default"/>
        <w:b/>
        <w:bCs/>
        <w:w w:val="100"/>
        <w:sz w:val="16"/>
        <w:szCs w:val="16"/>
        <w:lang w:val="en-US" w:eastAsia="en-US" w:bidi="en-US"/>
      </w:rPr>
    </w:lvl>
    <w:lvl w:ilvl="1" w:tplc="466E7994">
      <w:numFmt w:val="bullet"/>
      <w:lvlText w:val="•"/>
      <w:lvlJc w:val="left"/>
      <w:pPr>
        <w:ind w:left="556" w:hanging="262"/>
      </w:pPr>
      <w:rPr>
        <w:rFonts w:hint="default"/>
        <w:lang w:val="en-US" w:eastAsia="en-US" w:bidi="en-US"/>
      </w:rPr>
    </w:lvl>
    <w:lvl w:ilvl="2" w:tplc="BD4EF12C">
      <w:numFmt w:val="bullet"/>
      <w:lvlText w:val="•"/>
      <w:lvlJc w:val="left"/>
      <w:pPr>
        <w:ind w:left="1013" w:hanging="262"/>
      </w:pPr>
      <w:rPr>
        <w:rFonts w:hint="default"/>
        <w:lang w:val="en-US" w:eastAsia="en-US" w:bidi="en-US"/>
      </w:rPr>
    </w:lvl>
    <w:lvl w:ilvl="3" w:tplc="CF92906A">
      <w:numFmt w:val="bullet"/>
      <w:lvlText w:val="•"/>
      <w:lvlJc w:val="left"/>
      <w:pPr>
        <w:ind w:left="1469" w:hanging="262"/>
      </w:pPr>
      <w:rPr>
        <w:rFonts w:hint="default"/>
        <w:lang w:val="en-US" w:eastAsia="en-US" w:bidi="en-US"/>
      </w:rPr>
    </w:lvl>
    <w:lvl w:ilvl="4" w:tplc="9DB478FA">
      <w:numFmt w:val="bullet"/>
      <w:lvlText w:val="•"/>
      <w:lvlJc w:val="left"/>
      <w:pPr>
        <w:ind w:left="1926" w:hanging="262"/>
      </w:pPr>
      <w:rPr>
        <w:rFonts w:hint="default"/>
        <w:lang w:val="en-US" w:eastAsia="en-US" w:bidi="en-US"/>
      </w:rPr>
    </w:lvl>
    <w:lvl w:ilvl="5" w:tplc="788E42A4">
      <w:numFmt w:val="bullet"/>
      <w:lvlText w:val="•"/>
      <w:lvlJc w:val="left"/>
      <w:pPr>
        <w:ind w:left="2383" w:hanging="262"/>
      </w:pPr>
      <w:rPr>
        <w:rFonts w:hint="default"/>
        <w:lang w:val="en-US" w:eastAsia="en-US" w:bidi="en-US"/>
      </w:rPr>
    </w:lvl>
    <w:lvl w:ilvl="6" w:tplc="F382647C">
      <w:numFmt w:val="bullet"/>
      <w:lvlText w:val="•"/>
      <w:lvlJc w:val="left"/>
      <w:pPr>
        <w:ind w:left="2839" w:hanging="262"/>
      </w:pPr>
      <w:rPr>
        <w:rFonts w:hint="default"/>
        <w:lang w:val="en-US" w:eastAsia="en-US" w:bidi="en-US"/>
      </w:rPr>
    </w:lvl>
    <w:lvl w:ilvl="7" w:tplc="4662A45A">
      <w:numFmt w:val="bullet"/>
      <w:lvlText w:val="•"/>
      <w:lvlJc w:val="left"/>
      <w:pPr>
        <w:ind w:left="3296" w:hanging="262"/>
      </w:pPr>
      <w:rPr>
        <w:rFonts w:hint="default"/>
        <w:lang w:val="en-US" w:eastAsia="en-US" w:bidi="en-US"/>
      </w:rPr>
    </w:lvl>
    <w:lvl w:ilvl="8" w:tplc="AE5ECBC2">
      <w:numFmt w:val="bullet"/>
      <w:lvlText w:val="•"/>
      <w:lvlJc w:val="left"/>
      <w:pPr>
        <w:ind w:left="3752" w:hanging="262"/>
      </w:pPr>
      <w:rPr>
        <w:rFonts w:hint="default"/>
        <w:lang w:val="en-US" w:eastAsia="en-US" w:bidi="en-US"/>
      </w:rPr>
    </w:lvl>
  </w:abstractNum>
  <w:abstractNum w:abstractNumId="22" w15:restartNumberingAfterBreak="0">
    <w:nsid w:val="762A70D5"/>
    <w:multiLevelType w:val="hybridMultilevel"/>
    <w:tmpl w:val="B46C01A4"/>
    <w:lvl w:ilvl="0" w:tplc="5EA2F7C8">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7018A760">
      <w:numFmt w:val="bullet"/>
      <w:lvlText w:val="•"/>
      <w:lvlJc w:val="left"/>
      <w:pPr>
        <w:ind w:left="1696" w:hanging="360"/>
      </w:pPr>
      <w:rPr>
        <w:rFonts w:hint="default"/>
        <w:lang w:val="en-US" w:eastAsia="en-US" w:bidi="en-US"/>
      </w:rPr>
    </w:lvl>
    <w:lvl w:ilvl="2" w:tplc="88EA1C12">
      <w:numFmt w:val="bullet"/>
      <w:lvlText w:val="•"/>
      <w:lvlJc w:val="left"/>
      <w:pPr>
        <w:ind w:left="2572" w:hanging="360"/>
      </w:pPr>
      <w:rPr>
        <w:rFonts w:hint="default"/>
        <w:lang w:val="en-US" w:eastAsia="en-US" w:bidi="en-US"/>
      </w:rPr>
    </w:lvl>
    <w:lvl w:ilvl="3" w:tplc="42FAE92E">
      <w:numFmt w:val="bullet"/>
      <w:lvlText w:val="•"/>
      <w:lvlJc w:val="left"/>
      <w:pPr>
        <w:ind w:left="3448" w:hanging="360"/>
      </w:pPr>
      <w:rPr>
        <w:rFonts w:hint="default"/>
        <w:lang w:val="en-US" w:eastAsia="en-US" w:bidi="en-US"/>
      </w:rPr>
    </w:lvl>
    <w:lvl w:ilvl="4" w:tplc="3C04F3F6">
      <w:numFmt w:val="bullet"/>
      <w:lvlText w:val="•"/>
      <w:lvlJc w:val="left"/>
      <w:pPr>
        <w:ind w:left="4324" w:hanging="360"/>
      </w:pPr>
      <w:rPr>
        <w:rFonts w:hint="default"/>
        <w:lang w:val="en-US" w:eastAsia="en-US" w:bidi="en-US"/>
      </w:rPr>
    </w:lvl>
    <w:lvl w:ilvl="5" w:tplc="EA648214">
      <w:numFmt w:val="bullet"/>
      <w:lvlText w:val="•"/>
      <w:lvlJc w:val="left"/>
      <w:pPr>
        <w:ind w:left="5200" w:hanging="360"/>
      </w:pPr>
      <w:rPr>
        <w:rFonts w:hint="default"/>
        <w:lang w:val="en-US" w:eastAsia="en-US" w:bidi="en-US"/>
      </w:rPr>
    </w:lvl>
    <w:lvl w:ilvl="6" w:tplc="CBE0EF28">
      <w:numFmt w:val="bullet"/>
      <w:lvlText w:val="•"/>
      <w:lvlJc w:val="left"/>
      <w:pPr>
        <w:ind w:left="6076" w:hanging="360"/>
      </w:pPr>
      <w:rPr>
        <w:rFonts w:hint="default"/>
        <w:lang w:val="en-US" w:eastAsia="en-US" w:bidi="en-US"/>
      </w:rPr>
    </w:lvl>
    <w:lvl w:ilvl="7" w:tplc="8DB0FDE6">
      <w:numFmt w:val="bullet"/>
      <w:lvlText w:val="•"/>
      <w:lvlJc w:val="left"/>
      <w:pPr>
        <w:ind w:left="6952" w:hanging="360"/>
      </w:pPr>
      <w:rPr>
        <w:rFonts w:hint="default"/>
        <w:lang w:val="en-US" w:eastAsia="en-US" w:bidi="en-US"/>
      </w:rPr>
    </w:lvl>
    <w:lvl w:ilvl="8" w:tplc="2CA8A970">
      <w:numFmt w:val="bullet"/>
      <w:lvlText w:val="•"/>
      <w:lvlJc w:val="left"/>
      <w:pPr>
        <w:ind w:left="7828" w:hanging="360"/>
      </w:pPr>
      <w:rPr>
        <w:rFonts w:hint="default"/>
        <w:lang w:val="en-US" w:eastAsia="en-US" w:bidi="en-US"/>
      </w:rPr>
    </w:lvl>
  </w:abstractNum>
  <w:abstractNum w:abstractNumId="23" w15:restartNumberingAfterBreak="0">
    <w:nsid w:val="78E06950"/>
    <w:multiLevelType w:val="hybridMultilevel"/>
    <w:tmpl w:val="ED3CBAAC"/>
    <w:lvl w:ilvl="0" w:tplc="122A1A2A">
      <w:start w:val="1"/>
      <w:numFmt w:val="lowerRoman"/>
      <w:lvlText w:val="(%1)"/>
      <w:lvlJc w:val="left"/>
      <w:pPr>
        <w:ind w:left="107" w:hanging="238"/>
      </w:pPr>
      <w:rPr>
        <w:rFonts w:asciiTheme="minorHAnsi" w:eastAsia="Times New Roman" w:hAnsiTheme="minorHAnsi" w:cstheme="minorHAnsi" w:hint="default"/>
        <w:spacing w:val="-1"/>
        <w:w w:val="100"/>
        <w:sz w:val="16"/>
        <w:szCs w:val="16"/>
        <w:lang w:val="en-US" w:eastAsia="en-US" w:bidi="en-US"/>
      </w:rPr>
    </w:lvl>
    <w:lvl w:ilvl="1" w:tplc="1C3C6E68">
      <w:numFmt w:val="bullet"/>
      <w:lvlText w:val="•"/>
      <w:lvlJc w:val="left"/>
      <w:pPr>
        <w:ind w:left="556" w:hanging="238"/>
      </w:pPr>
      <w:rPr>
        <w:rFonts w:hint="default"/>
        <w:lang w:val="en-US" w:eastAsia="en-US" w:bidi="en-US"/>
      </w:rPr>
    </w:lvl>
    <w:lvl w:ilvl="2" w:tplc="F18050FC">
      <w:numFmt w:val="bullet"/>
      <w:lvlText w:val="•"/>
      <w:lvlJc w:val="left"/>
      <w:pPr>
        <w:ind w:left="1013" w:hanging="238"/>
      </w:pPr>
      <w:rPr>
        <w:rFonts w:hint="default"/>
        <w:lang w:val="en-US" w:eastAsia="en-US" w:bidi="en-US"/>
      </w:rPr>
    </w:lvl>
    <w:lvl w:ilvl="3" w:tplc="31FAAC1E">
      <w:numFmt w:val="bullet"/>
      <w:lvlText w:val="•"/>
      <w:lvlJc w:val="left"/>
      <w:pPr>
        <w:ind w:left="1469" w:hanging="238"/>
      </w:pPr>
      <w:rPr>
        <w:rFonts w:hint="default"/>
        <w:lang w:val="en-US" w:eastAsia="en-US" w:bidi="en-US"/>
      </w:rPr>
    </w:lvl>
    <w:lvl w:ilvl="4" w:tplc="9C141F70">
      <w:numFmt w:val="bullet"/>
      <w:lvlText w:val="•"/>
      <w:lvlJc w:val="left"/>
      <w:pPr>
        <w:ind w:left="1926" w:hanging="238"/>
      </w:pPr>
      <w:rPr>
        <w:rFonts w:hint="default"/>
        <w:lang w:val="en-US" w:eastAsia="en-US" w:bidi="en-US"/>
      </w:rPr>
    </w:lvl>
    <w:lvl w:ilvl="5" w:tplc="8C90E1B4">
      <w:numFmt w:val="bullet"/>
      <w:lvlText w:val="•"/>
      <w:lvlJc w:val="left"/>
      <w:pPr>
        <w:ind w:left="2383" w:hanging="238"/>
      </w:pPr>
      <w:rPr>
        <w:rFonts w:hint="default"/>
        <w:lang w:val="en-US" w:eastAsia="en-US" w:bidi="en-US"/>
      </w:rPr>
    </w:lvl>
    <w:lvl w:ilvl="6" w:tplc="74E2658E">
      <w:numFmt w:val="bullet"/>
      <w:lvlText w:val="•"/>
      <w:lvlJc w:val="left"/>
      <w:pPr>
        <w:ind w:left="2839" w:hanging="238"/>
      </w:pPr>
      <w:rPr>
        <w:rFonts w:hint="default"/>
        <w:lang w:val="en-US" w:eastAsia="en-US" w:bidi="en-US"/>
      </w:rPr>
    </w:lvl>
    <w:lvl w:ilvl="7" w:tplc="75024732">
      <w:numFmt w:val="bullet"/>
      <w:lvlText w:val="•"/>
      <w:lvlJc w:val="left"/>
      <w:pPr>
        <w:ind w:left="3296" w:hanging="238"/>
      </w:pPr>
      <w:rPr>
        <w:rFonts w:hint="default"/>
        <w:lang w:val="en-US" w:eastAsia="en-US" w:bidi="en-US"/>
      </w:rPr>
    </w:lvl>
    <w:lvl w:ilvl="8" w:tplc="9566E1EC">
      <w:numFmt w:val="bullet"/>
      <w:lvlText w:val="•"/>
      <w:lvlJc w:val="left"/>
      <w:pPr>
        <w:ind w:left="3752" w:hanging="238"/>
      </w:pPr>
      <w:rPr>
        <w:rFonts w:hint="default"/>
        <w:lang w:val="en-US" w:eastAsia="en-US" w:bidi="en-US"/>
      </w:rPr>
    </w:lvl>
  </w:abstractNum>
  <w:num w:numId="1" w16cid:durableId="1772972327">
    <w:abstractNumId w:val="4"/>
  </w:num>
  <w:num w:numId="2" w16cid:durableId="769543033">
    <w:abstractNumId w:val="10"/>
  </w:num>
  <w:num w:numId="3" w16cid:durableId="1602101465">
    <w:abstractNumId w:val="11"/>
  </w:num>
  <w:num w:numId="4" w16cid:durableId="1616057221">
    <w:abstractNumId w:val="1"/>
  </w:num>
  <w:num w:numId="5" w16cid:durableId="892620443">
    <w:abstractNumId w:val="18"/>
  </w:num>
  <w:num w:numId="6" w16cid:durableId="1360082626">
    <w:abstractNumId w:val="5"/>
  </w:num>
  <w:num w:numId="7" w16cid:durableId="637686606">
    <w:abstractNumId w:val="7"/>
  </w:num>
  <w:num w:numId="8" w16cid:durableId="1729451723">
    <w:abstractNumId w:val="22"/>
  </w:num>
  <w:num w:numId="9" w16cid:durableId="70782787">
    <w:abstractNumId w:val="13"/>
  </w:num>
  <w:num w:numId="10" w16cid:durableId="69426095">
    <w:abstractNumId w:val="8"/>
  </w:num>
  <w:num w:numId="11" w16cid:durableId="1861626515">
    <w:abstractNumId w:val="17"/>
  </w:num>
  <w:num w:numId="12" w16cid:durableId="435902373">
    <w:abstractNumId w:val="0"/>
  </w:num>
  <w:num w:numId="13" w16cid:durableId="1265000170">
    <w:abstractNumId w:val="16"/>
  </w:num>
  <w:num w:numId="14" w16cid:durableId="80373426">
    <w:abstractNumId w:val="20"/>
  </w:num>
  <w:num w:numId="15" w16cid:durableId="583690481">
    <w:abstractNumId w:val="23"/>
  </w:num>
  <w:num w:numId="16" w16cid:durableId="1812478043">
    <w:abstractNumId w:val="14"/>
  </w:num>
  <w:num w:numId="17" w16cid:durableId="1732464650">
    <w:abstractNumId w:val="9"/>
  </w:num>
  <w:num w:numId="18" w16cid:durableId="561910082">
    <w:abstractNumId w:val="19"/>
  </w:num>
  <w:num w:numId="19" w16cid:durableId="1941448803">
    <w:abstractNumId w:val="3"/>
  </w:num>
  <w:num w:numId="20" w16cid:durableId="511143323">
    <w:abstractNumId w:val="2"/>
  </w:num>
  <w:num w:numId="21" w16cid:durableId="532887019">
    <w:abstractNumId w:val="21"/>
  </w:num>
  <w:num w:numId="22" w16cid:durableId="1362512734">
    <w:abstractNumId w:val="12"/>
  </w:num>
  <w:num w:numId="23" w16cid:durableId="2014718019">
    <w:abstractNumId w:val="15"/>
  </w:num>
  <w:num w:numId="24" w16cid:durableId="1302231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NDMwMzA0sDQzNTNQ0lEKTi0uzszPAykwqgUAkudu7iwAAAA="/>
  </w:docVars>
  <w:rsids>
    <w:rsidRoot w:val="00C23B76"/>
    <w:rsid w:val="000860A8"/>
    <w:rsid w:val="000A013E"/>
    <w:rsid w:val="000B794A"/>
    <w:rsid w:val="00143355"/>
    <w:rsid w:val="001F3220"/>
    <w:rsid w:val="00216E5A"/>
    <w:rsid w:val="002A0A34"/>
    <w:rsid w:val="002A3F96"/>
    <w:rsid w:val="002F03A3"/>
    <w:rsid w:val="003015EE"/>
    <w:rsid w:val="003561EF"/>
    <w:rsid w:val="0037464B"/>
    <w:rsid w:val="0039310D"/>
    <w:rsid w:val="0043259E"/>
    <w:rsid w:val="004B00C6"/>
    <w:rsid w:val="00522056"/>
    <w:rsid w:val="00581BA1"/>
    <w:rsid w:val="005847E4"/>
    <w:rsid w:val="005E040B"/>
    <w:rsid w:val="005E6555"/>
    <w:rsid w:val="00697635"/>
    <w:rsid w:val="006A368D"/>
    <w:rsid w:val="007679B0"/>
    <w:rsid w:val="0079315A"/>
    <w:rsid w:val="007A4456"/>
    <w:rsid w:val="00830370"/>
    <w:rsid w:val="008D77C3"/>
    <w:rsid w:val="009A611B"/>
    <w:rsid w:val="00AB7760"/>
    <w:rsid w:val="00AF08F5"/>
    <w:rsid w:val="00AF49B0"/>
    <w:rsid w:val="00B16E01"/>
    <w:rsid w:val="00B323ED"/>
    <w:rsid w:val="00B60874"/>
    <w:rsid w:val="00B96ED8"/>
    <w:rsid w:val="00BB44CF"/>
    <w:rsid w:val="00BE178F"/>
    <w:rsid w:val="00C23B76"/>
    <w:rsid w:val="00C27CF4"/>
    <w:rsid w:val="00C4416E"/>
    <w:rsid w:val="00C462A3"/>
    <w:rsid w:val="00C47D37"/>
    <w:rsid w:val="00C5030E"/>
    <w:rsid w:val="00CD6D21"/>
    <w:rsid w:val="00D65794"/>
    <w:rsid w:val="00D705D1"/>
    <w:rsid w:val="00DA786A"/>
    <w:rsid w:val="00DE15A1"/>
    <w:rsid w:val="00E01F5C"/>
    <w:rsid w:val="00E52487"/>
    <w:rsid w:val="00E6523C"/>
    <w:rsid w:val="00E70834"/>
    <w:rsid w:val="00F1705C"/>
    <w:rsid w:val="00F34EC5"/>
    <w:rsid w:val="00F36942"/>
    <w:rsid w:val="00F7013D"/>
    <w:rsid w:val="00F811B8"/>
    <w:rsid w:val="00FA76E7"/>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F91A"/>
  <w15:docId w15:val="{B0787D02-D294-4F3B-9A00-B0C6D77D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A0A34"/>
    <w:rPr>
      <w:sz w:val="16"/>
      <w:szCs w:val="16"/>
    </w:rPr>
  </w:style>
  <w:style w:type="paragraph" w:styleId="CommentText">
    <w:name w:val="annotation text"/>
    <w:basedOn w:val="Normal"/>
    <w:link w:val="CommentTextChar"/>
    <w:uiPriority w:val="99"/>
    <w:semiHidden/>
    <w:unhideWhenUsed/>
    <w:rsid w:val="002A0A34"/>
    <w:rPr>
      <w:sz w:val="20"/>
      <w:szCs w:val="20"/>
    </w:rPr>
  </w:style>
  <w:style w:type="character" w:customStyle="1" w:styleId="CommentTextChar">
    <w:name w:val="Comment Text Char"/>
    <w:basedOn w:val="DefaultParagraphFont"/>
    <w:link w:val="CommentText"/>
    <w:uiPriority w:val="99"/>
    <w:semiHidden/>
    <w:rsid w:val="002A0A34"/>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A0A34"/>
    <w:rPr>
      <w:b/>
      <w:bCs/>
    </w:rPr>
  </w:style>
  <w:style w:type="character" w:customStyle="1" w:styleId="CommentSubjectChar">
    <w:name w:val="Comment Subject Char"/>
    <w:basedOn w:val="CommentTextChar"/>
    <w:link w:val="CommentSubject"/>
    <w:uiPriority w:val="99"/>
    <w:semiHidden/>
    <w:rsid w:val="002A0A34"/>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A0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34"/>
    <w:rPr>
      <w:rFonts w:ascii="Segoe UI" w:eastAsia="Calibri" w:hAnsi="Segoe UI" w:cs="Segoe UI"/>
      <w:sz w:val="18"/>
      <w:szCs w:val="18"/>
      <w:lang w:bidi="en-US"/>
    </w:rPr>
  </w:style>
  <w:style w:type="paragraph" w:styleId="Header">
    <w:name w:val="header"/>
    <w:basedOn w:val="Normal"/>
    <w:link w:val="HeaderChar"/>
    <w:uiPriority w:val="99"/>
    <w:unhideWhenUsed/>
    <w:rsid w:val="008D77C3"/>
    <w:pPr>
      <w:tabs>
        <w:tab w:val="center" w:pos="4680"/>
        <w:tab w:val="right" w:pos="9360"/>
      </w:tabs>
    </w:pPr>
  </w:style>
  <w:style w:type="character" w:customStyle="1" w:styleId="HeaderChar">
    <w:name w:val="Header Char"/>
    <w:basedOn w:val="DefaultParagraphFont"/>
    <w:link w:val="Header"/>
    <w:uiPriority w:val="99"/>
    <w:rsid w:val="008D77C3"/>
    <w:rPr>
      <w:rFonts w:ascii="Calibri" w:eastAsia="Calibri" w:hAnsi="Calibri" w:cs="Calibri"/>
      <w:lang w:bidi="en-US"/>
    </w:rPr>
  </w:style>
  <w:style w:type="paragraph" w:styleId="Footer">
    <w:name w:val="footer"/>
    <w:basedOn w:val="Normal"/>
    <w:link w:val="FooterChar"/>
    <w:uiPriority w:val="99"/>
    <w:unhideWhenUsed/>
    <w:rsid w:val="008D77C3"/>
    <w:pPr>
      <w:tabs>
        <w:tab w:val="center" w:pos="4680"/>
        <w:tab w:val="right" w:pos="9360"/>
      </w:tabs>
    </w:pPr>
  </w:style>
  <w:style w:type="character" w:customStyle="1" w:styleId="FooterChar">
    <w:name w:val="Footer Char"/>
    <w:basedOn w:val="DefaultParagraphFont"/>
    <w:link w:val="Footer"/>
    <w:uiPriority w:val="99"/>
    <w:rsid w:val="008D77C3"/>
    <w:rPr>
      <w:rFonts w:ascii="Calibri" w:eastAsia="Calibri" w:hAnsi="Calibri" w:cs="Calibri"/>
      <w:lang w:bidi="en-US"/>
    </w:rPr>
  </w:style>
  <w:style w:type="character" w:styleId="Hyperlink">
    <w:name w:val="Hyperlink"/>
    <w:basedOn w:val="DefaultParagraphFont"/>
    <w:uiPriority w:val="99"/>
    <w:unhideWhenUsed/>
    <w:rsid w:val="00DE15A1"/>
    <w:rPr>
      <w:color w:val="0000FF" w:themeColor="hyperlink"/>
      <w:u w:val="single"/>
    </w:rPr>
  </w:style>
  <w:style w:type="character" w:styleId="UnresolvedMention">
    <w:name w:val="Unresolved Mention"/>
    <w:basedOn w:val="DefaultParagraphFont"/>
    <w:uiPriority w:val="99"/>
    <w:semiHidden/>
    <w:unhideWhenUsed/>
    <w:rsid w:val="00DE15A1"/>
    <w:rPr>
      <w:color w:val="605E5C"/>
      <w:shd w:val="clear" w:color="auto" w:fill="E1DFDD"/>
    </w:rPr>
  </w:style>
  <w:style w:type="character" w:styleId="FollowedHyperlink">
    <w:name w:val="FollowedHyperlink"/>
    <w:basedOn w:val="DefaultParagraphFont"/>
    <w:uiPriority w:val="99"/>
    <w:semiHidden/>
    <w:unhideWhenUsed/>
    <w:rsid w:val="00DE1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hegef.org/sites/default/files/documents/GEF_Guidelines_Project_Program_Cycle_Policy_20200731.pdf" TargetMode="External"/><Relationship Id="rId18" Type="http://schemas.openxmlformats.org/officeDocument/2006/relationships/hyperlink" Target="https://popp.undp.org/document/undp-annotated-project-document-projects-financed-various-gef-trust-funds" TargetMode="External"/><Relationship Id="rId26" Type="http://schemas.openxmlformats.org/officeDocument/2006/relationships/hyperlink" Target="https://popp.undp.org/node/11531" TargetMode="External"/><Relationship Id="rId39" Type="http://schemas.openxmlformats.org/officeDocument/2006/relationships/hyperlink" Target="https://www.thegef.org/documents/templates" TargetMode="External"/><Relationship Id="rId21" Type="http://schemas.openxmlformats.org/officeDocument/2006/relationships/hyperlink" Target="https://partneragencies.b2clogin.com/partneragencies.onmicrosoft.com/B2C_1A_signup_signin_saml_v2/samlp/sso/login?SAMLRequest=fVJda9swFH3frzB694eUrDMidkgawgJdZxZ3D3sxinKdCuwrV1fO1n9f22lpt9GC0AXdq3OOztFi%2BadtgjM4MhYzxqOEBYDaHg2eMnZXbsOULfNPC1JtIzq56v09%2FoCHHsgHm2EzqPx08977jmQcd8p5BKdOA4oBig5CN%2FZkMNK2%2Fa9psTXaWbK1n%2FprcV3xVUXmhH03FYPVSF2dRTzWLiay8QTIgq11GiZFGatVQ8CC3SZj%2B9W3myqdqQS4SMP0C4hwns4%2Bh4eU1%2BGMz%2BagQaeq1sM4FYrInOEVgKiHHZJX6DMmEsHD5GpYpUik4DK5iuY8%2FcWCwllvtW3WBi9W9Q6lVWRIomqBpNdyFCJFlMjDZYjk17IswuL7vmTBzxfLxWj5EAKSvJj8MVb3TMzySyZyUuzeInwMMDwY3JgZy9%2FL7N9Y7m43RcG3%2B0X8ljJ%2F%2BRS3A8duU9jG6Mdg1TT297UD5V9NHYJqlX9fFo%2F4dGKOYT2Nyh6pA21qA0cW58%2B8f3%2B%2F%2FAk%3D" TargetMode="External"/><Relationship Id="rId34" Type="http://schemas.openxmlformats.org/officeDocument/2006/relationships/hyperlink" Target="https://www.thegef.org/documents/policies-guidelines"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hegef.org/sites/default/files/documents/GEF_Guidelines_Project_Program_Cycle_Policy_20200731.pdf" TargetMode="External"/><Relationship Id="rId20" Type="http://schemas.openxmlformats.org/officeDocument/2006/relationships/hyperlink" Target="https://popp.undp.org/taxonomy/term/116" TargetMode="External"/><Relationship Id="rId29" Type="http://schemas.openxmlformats.org/officeDocument/2006/relationships/hyperlink" Target="https://www.thegef.org/sites/default/files/documents/Agency_Fee_Policy.pdf"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thegef.org/documents/templates" TargetMode="External"/><Relationship Id="rId37" Type="http://schemas.openxmlformats.org/officeDocument/2006/relationships/hyperlink" Target="https://www.thegef.org/sites/default/files/documents/GEF_Guidelines_Project_Program_Cycle_Policy_20200731.pdf" TargetMode="External"/><Relationship Id="rId40" Type="http://schemas.openxmlformats.org/officeDocument/2006/relationships/hyperlink" Target="https://popp.undp.org/node/4796"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https://www.thegef.org/sites/default/files/documents/gef_minimum_fiduciary_standards_partner_agencies_2019.pdf" TargetMode="External"/><Relationship Id="rId36" Type="http://schemas.openxmlformats.org/officeDocument/2006/relationships/hyperlink" Target="https://www.thegef.org/sites/default/files/documents/gef_minimum_fiduciary_standards_partner_agencies_2019.pdf" TargetMode="External"/><Relationship Id="rId10" Type="http://schemas.openxmlformats.org/officeDocument/2006/relationships/footnotes" Target="footnotes.xml"/><Relationship Id="rId19" Type="http://schemas.openxmlformats.org/officeDocument/2006/relationships/hyperlink" Target="https://popp.undp.org/node/3656"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intranet.undp.org/unit/ofrm/_layouts/15/WopiFrame.aspx?sourcedoc=/unit/ofrm/Financial%20Resource%20Management%20Policies/Annex%201%20-%20GEF%20conditions%20for%20UNDP%20support%20services%2011%20August%202020.docx&amp;action=default" TargetMode="External"/><Relationship Id="rId27" Type="http://schemas.openxmlformats.org/officeDocument/2006/relationships/hyperlink" Target="https://www.thegef.org/sites/default/files/documents/gef_minimum_fiduciary_standards_partner_agencies_2019.pdf" TargetMode="External"/><Relationship Id="rId30" Type="http://schemas.openxmlformats.org/officeDocument/2006/relationships/header" Target="header4.xml"/><Relationship Id="rId35" Type="http://schemas.openxmlformats.org/officeDocument/2006/relationships/hyperlink" Target="https://www.thegef.org/sites/default/files/documents/Project_Cancellation_Policy_20181220.pdf"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intranet.undp.org/unit/ofrm/_layouts/15/WopiFrame.aspx?sourcedoc=/unit/ofrm/Financial%20Resource%20Management%20Policies/Annex%201%20-%20GEF%20conditions%20for%20UNDP%20support%20services%2011%20August%202020.docx&amp;action=default" TargetMode="External"/><Relationship Id="rId25" Type="http://schemas.openxmlformats.org/officeDocument/2006/relationships/hyperlink" Target="https://www.thegef.org/documents/policies-guidelines" TargetMode="External"/><Relationship Id="rId33" Type="http://schemas.openxmlformats.org/officeDocument/2006/relationships/hyperlink" Target="https://popp.undp.org/node/4796" TargetMode="External"/><Relationship Id="rId38" Type="http://schemas.openxmlformats.org/officeDocument/2006/relationships/hyperlink" Target="https://www.thegef.org/sites/default/files/documents/Agency_Fee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Project Costing and UNDP Support Services GEF Financed Projects</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2021-06-16T22:00:00+00:00</UNDP_POPP_EFFECTIVEDATE>
    <DLCPolicyLabelLock xmlns="e560140e-7b2f-4392-90df-e7567e3021a3" xsi:nil="true"/>
    <DLCPolicyLabelClientValue xmlns="e560140e-7b2f-4392-90df-e7567e3021a3">Effective Date: 17/06/2021                                                Version #: {POPPRefItemVersion}</DLCPolicyLabelClientValue>
    <UNDP_POPP_BUSINESSUNITID_HIDDEN xmlns="8264c5cc-ec60-4b56-8111-ce635d3d139a" xsi:nil="true"/>
    <_dlc_DocId xmlns="8264c5cc-ec60-4b56-8111-ce635d3d139a">POPP-11-3556</_dlc_DocId>
    <_dlc_DocIdUrl xmlns="8264c5cc-ec60-4b56-8111-ce635d3d139a">
      <Url>https://popp.undp.org/_layouts/15/DocIdRedir.aspx?ID=POPP-11-3556</Url>
      <Description>POPP-11-3556</Description>
    </_dlc_DocIdUrl>
    <DLCPolicyLabelValue xmlns="e560140e-7b2f-4392-90df-e7567e3021a3">Effective Date: 17/06/2021                                                Version #: {POPPRefItemVersion}</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093898EA-3CD6-4C43-B07D-BC706354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354C3-F09C-4926-9391-B856250FE2EA}">
  <ds:schemaRefs>
    <ds:schemaRef ds:uri="http://schemas.microsoft.com/sharepoint/v3/contenttype/forms"/>
  </ds:schemaRefs>
</ds:datastoreItem>
</file>

<file path=customXml/itemProps3.xml><?xml version="1.0" encoding="utf-8"?>
<ds:datastoreItem xmlns:ds="http://schemas.openxmlformats.org/officeDocument/2006/customXml" ds:itemID="{5EDFD053-A988-4A62-85BA-58CB41F1D9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44D91222-0E9E-4C8A-A3DE-7A3E71FA8FA4}">
  <ds:schemaRefs>
    <ds:schemaRef ds:uri="http://schemas.microsoft.com/sharepoint/events"/>
  </ds:schemaRefs>
</ds:datastoreItem>
</file>

<file path=customXml/itemProps5.xml><?xml version="1.0" encoding="utf-8"?>
<ds:datastoreItem xmlns:ds="http://schemas.openxmlformats.org/officeDocument/2006/customXml" ds:itemID="{37C495DC-3305-4DA5-A710-5ACE42794F6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20</Pages>
  <Words>7507</Words>
  <Characters>42796</Characters>
  <Application>Microsoft Office Word</Application>
  <DocSecurity>0</DocSecurity>
  <Lines>356</Lines>
  <Paragraphs>100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Background</vt:lpstr>
      <vt:lpstr>Types of GEF Financing</vt:lpstr>
      <vt:lpstr>Project Management Costs (PMC)</vt:lpstr>
      <vt:lpstr>Exceptions on UNDP Support Services</vt:lpstr>
      <vt:lpstr>Budgeting and eligibility of Expenditures</vt:lpstr>
      <vt:lpstr>Ineligible expenditures/transactions: include:</vt:lpstr>
      <vt:lpstr>Budgeting for project closure of GEF-financed projects</vt:lpstr>
      <vt:lpstr>Management of GEF Agency Fees (Indirect Costs)</vt:lpstr>
      <vt:lpstr>Annex 1 - UNDP Execution Support to GEF-financed Projects</vt:lpstr>
      <vt:lpstr>Background:</vt:lpstr>
      <vt:lpstr>GEF Services, exceptions and conditions:</vt:lpstr>
      <vt:lpstr>UNDP procedure:</vt:lpstr>
      <vt:lpstr>Pre-PIF formulation:</vt:lpstr>
      <vt:lpstr>PIF formulation and pre-PAC meeting prior to submission of PIF to GEF:</vt:lpstr>
      <vt:lpstr>PIF submission:</vt:lpstr>
      <vt:lpstr>PPG phase and formulation of the CEO endorsement request and the UNDP-GEF Projec</vt:lpstr>
      <vt:lpstr>Annex A: Relevant GEF policies and guidance</vt:lpstr>
      <vt:lpstr>Annex B: GEF Corporate Services</vt:lpstr>
      <vt:lpstr>Preparation of project concept</vt:lpstr>
      <vt:lpstr>Preparation of the detailed Project Document</vt:lpstr>
      <vt:lpstr>Project Approval and Start-up</vt:lpstr>
      <vt:lpstr>Project implementation and supervision</vt:lpstr>
      <vt:lpstr>Project completion and evaluation</vt:lpstr>
      <vt:lpstr>Corporate Activities (done at regional and HQ level)</vt:lpstr>
      <vt:lpstr>Annex C: GEF OFP Letter of Support when GEF Agency also executes</vt:lpstr>
      <vt:lpstr>Subject:	Letter of Support to request GEF Agency Execution for [Title of Project</vt:lpstr>
      <vt:lpstr>Annex D: UNDP Letter of Agreement when UNDP provides execution Support</vt:lpstr>
    </vt:vector>
  </TitlesOfParts>
  <Company/>
  <LinksUpToDate>false</LinksUpToDate>
  <CharactersWithSpaces>50203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dc:creator>
  <cp:keywords/>
  <dc:description/>
  <cp:lastModifiedBy>Pablo Morete</cp:lastModifiedBy>
  <cp:revision>12</cp:revision>
  <cp:lastPrinted>2021-06-07T14:53:00Z</cp:lastPrinted>
  <dcterms:created xsi:type="dcterms:W3CDTF">2021-01-20T23:01:00Z</dcterms:created>
  <dcterms:modified xsi:type="dcterms:W3CDTF">2023-06-23T13:32:00Z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LastSaved">
    <vt:filetime>2020-12-07T00:00:00Z</vt:filetime>
  </property>
  <property fmtid="{D5CDD505-2E9C-101B-9397-08002B2CF9AE}" pid="4" name="ContentTypeId">
    <vt:lpwstr>0x01010061FF32BFFC2B4E50A3A86F4682D7D367007687F3382310C0489D2A99E053BA6D39</vt:lpwstr>
  </property>
  <property fmtid="{D5CDD505-2E9C-101B-9397-08002B2CF9AE}" pid="5" name="Location">
    <vt:lpwstr>Public</vt:lpwstr>
  </property>
  <property fmtid="{D5CDD505-2E9C-101B-9397-08002B2CF9AE}" pid="6" name="UNDP_POPP_BUSINESSUNIT">
    <vt:lpwstr>669;#Programme and Project Management|1c019435-9793-447e-8959-0b32d23bf3d5</vt:lpwstr>
  </property>
  <property fmtid="{D5CDD505-2E9C-101B-9397-08002B2CF9AE}" pid="7" name="POPPBusinessProcess">
    <vt:lpwstr/>
  </property>
  <property fmtid="{D5CDD505-2E9C-101B-9397-08002B2CF9AE}" pid="8" name="_dlc_DocIdItemGuid">
    <vt:lpwstr>c4cf463b-6ffe-4994-8140-626dabcc4adf</vt:lpwstr>
  </property>
</Properties>
</file>