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985" w14:textId="00A9147D" w:rsidR="00C83A17" w:rsidRDefault="00C83A17" w:rsidP="00C83A17">
      <w:pPr>
        <w:spacing w:after="0" w:line="240" w:lineRule="auto"/>
        <w:ind w:left="360" w:right="0" w:firstLine="0"/>
        <w:jc w:val="left"/>
      </w:pPr>
      <w:r>
        <w:rPr>
          <w:b/>
          <w:sz w:val="28"/>
        </w:rPr>
        <w:t>Furniture and Equipment: Depreciation, Reconciliations Reports and Centralized Functions</w:t>
      </w:r>
      <w:r w:rsidR="00D567E8">
        <w:rPr>
          <w:b/>
          <w:sz w:val="28"/>
        </w:rPr>
        <w:t xml:space="preserve"> </w:t>
      </w:r>
    </w:p>
    <w:p w14:paraId="14462EB2" w14:textId="77777777" w:rsidR="00C83A17" w:rsidRDefault="00C83A17" w:rsidP="00C83A17">
      <w:pPr>
        <w:spacing w:after="0" w:line="259" w:lineRule="auto"/>
        <w:ind w:left="360" w:right="0" w:firstLine="0"/>
        <w:jc w:val="left"/>
      </w:pPr>
      <w:r>
        <w:rPr>
          <w:b/>
        </w:rPr>
        <w:t xml:space="preserve">  </w:t>
      </w:r>
      <w:r>
        <w:t xml:space="preserve"> </w:t>
      </w:r>
    </w:p>
    <w:p w14:paraId="637A3229" w14:textId="77777777" w:rsidR="00C83A17" w:rsidRDefault="00C83A17" w:rsidP="00C83A17">
      <w:pPr>
        <w:pStyle w:val="Heading1"/>
        <w:spacing w:after="0"/>
        <w:ind w:left="341"/>
      </w:pPr>
      <w:r>
        <w:t>Depreciation</w:t>
      </w:r>
      <w:r>
        <w:rPr>
          <w:b w:val="0"/>
        </w:rPr>
        <w:t xml:space="preserve"> </w:t>
      </w:r>
      <w:r>
        <w:t xml:space="preserve"> </w:t>
      </w:r>
    </w:p>
    <w:p w14:paraId="61E34461" w14:textId="77777777" w:rsidR="00C83A17" w:rsidRDefault="00C83A17" w:rsidP="00C83A17">
      <w:pPr>
        <w:spacing w:after="0" w:line="259" w:lineRule="auto"/>
        <w:ind w:left="360" w:right="0" w:firstLine="0"/>
        <w:jc w:val="left"/>
      </w:pPr>
      <w:r>
        <w:t xml:space="preserve">   </w:t>
      </w:r>
    </w:p>
    <w:p w14:paraId="66C3363F" w14:textId="77777777" w:rsidR="00C83A17" w:rsidRDefault="00C83A17" w:rsidP="00C83A17">
      <w:pPr>
        <w:numPr>
          <w:ilvl w:val="0"/>
          <w:numId w:val="1"/>
        </w:numPr>
        <w:spacing w:after="0"/>
        <w:ind w:right="28" w:hanging="360"/>
      </w:pPr>
      <w:r>
        <w:t xml:space="preserve">Depreciation is the measure of wearing out, consumption or other loss of value of a fixed </w:t>
      </w:r>
      <w:r>
        <w:rPr>
          <w:sz w:val="34"/>
          <w:vertAlign w:val="superscript"/>
        </w:rPr>
        <w:t xml:space="preserve">  </w:t>
      </w:r>
      <w:r>
        <w:t xml:space="preserve">asset over its useful life. This is also known as ‘depreciation expense’, which is expensed over the life of the asset rather than when the asset is paid for.  </w:t>
      </w:r>
    </w:p>
    <w:p w14:paraId="6A04F623" w14:textId="77777777" w:rsidR="00C83A17" w:rsidRDefault="00C83A17" w:rsidP="00C83A17">
      <w:pPr>
        <w:spacing w:after="0" w:line="259" w:lineRule="auto"/>
        <w:ind w:left="406" w:right="0" w:firstLine="0"/>
        <w:jc w:val="left"/>
      </w:pPr>
      <w:r>
        <w:t xml:space="preserve">  </w:t>
      </w:r>
    </w:p>
    <w:p w14:paraId="5B638217" w14:textId="77777777" w:rsidR="00C83A17" w:rsidRDefault="00C83A17" w:rsidP="00C83A17">
      <w:pPr>
        <w:numPr>
          <w:ilvl w:val="0"/>
          <w:numId w:val="1"/>
        </w:numPr>
        <w:spacing w:after="0"/>
        <w:ind w:right="28" w:hanging="360"/>
      </w:pPr>
      <w:r>
        <w:t xml:space="preserve">Depreciable amount is the cost of an asset, or other amount substituted for cost, less its residual value. The residual value of an asset is the estimated amount that would currently be obtained from disposal of the asset, after deducting the estimated costs of disposal, if the asset were already of the age and in the condition expected at the end of its useful life.  In UNDP the residual value is set at “0”.  </w:t>
      </w:r>
    </w:p>
    <w:p w14:paraId="1382A358" w14:textId="77777777" w:rsidR="00C83A17" w:rsidRDefault="00C83A17" w:rsidP="00C83A17">
      <w:pPr>
        <w:spacing w:after="0" w:line="259" w:lineRule="auto"/>
        <w:ind w:left="406" w:right="0" w:firstLine="0"/>
        <w:jc w:val="left"/>
      </w:pPr>
      <w:r>
        <w:t xml:space="preserve">  </w:t>
      </w:r>
    </w:p>
    <w:p w14:paraId="15C12B88" w14:textId="570AC5E0" w:rsidR="00C83A17" w:rsidRDefault="00C83A17" w:rsidP="00C83A17">
      <w:pPr>
        <w:numPr>
          <w:ilvl w:val="0"/>
          <w:numId w:val="1"/>
        </w:numPr>
        <w:spacing w:after="0"/>
        <w:ind w:right="28" w:hanging="360"/>
      </w:pPr>
      <w:r>
        <w:t xml:space="preserve">Depreciation will </w:t>
      </w:r>
      <w:r w:rsidRPr="00D105C3">
        <w:t xml:space="preserve">begin when asset is available for use, i.e. when it is in the location and condition necessary for it to be capable of operating in the manner intended by management </w:t>
      </w:r>
      <w:r>
        <w:t>until the asset attains its full established useful life or is transferred, sold or donated. On retirement of the asset, depreciation will be run to its penultimate month (month before disposal month) i.e. it will not be depreciated in its final month.  Please note that depreciation is not budget checked and has no impact on resources. The full asset cost impacts resources at the time of purchase. Subsequent depreciation serves the purpose of allocating this cost over the useful life of the asset. Depreciation will be an automated process that will be run at HQ level</w:t>
      </w:r>
      <w:r w:rsidR="006A08DE">
        <w:t>.</w:t>
      </w:r>
      <w:r>
        <w:t xml:space="preserve">  </w:t>
      </w:r>
    </w:p>
    <w:p w14:paraId="2EAFBB9A" w14:textId="77777777" w:rsidR="00C83A17" w:rsidRDefault="00C83A17" w:rsidP="00C83A17">
      <w:pPr>
        <w:spacing w:after="0" w:line="259" w:lineRule="auto"/>
        <w:ind w:left="406" w:right="0" w:firstLine="0"/>
        <w:jc w:val="left"/>
      </w:pPr>
      <w:r>
        <w:t xml:space="preserve">  </w:t>
      </w:r>
    </w:p>
    <w:p w14:paraId="26BCC974" w14:textId="77777777" w:rsidR="00C83A17" w:rsidRDefault="00C83A17" w:rsidP="00C83A17">
      <w:pPr>
        <w:numPr>
          <w:ilvl w:val="0"/>
          <w:numId w:val="1"/>
        </w:numPr>
        <w:spacing w:after="0"/>
        <w:ind w:right="28" w:hanging="360"/>
      </w:pPr>
      <w:r>
        <w:t xml:space="preserve">The useful life is defined as the period of time over which an asset is expected to be available for use. In UNDP, the useful lives for various categories have been established based upon UNDP’s practices of retaining assets in use with the intention to seek a </w:t>
      </w:r>
      <w:r>
        <w:rPr>
          <w:b/>
        </w:rPr>
        <w:t xml:space="preserve">reasonable average useful life </w:t>
      </w:r>
      <w:r>
        <w:t xml:space="preserve">across all the population of similar assets within UNDP. Therefore some assets may be disposed of prior to reaching their useful life, following a review of their usefulness at their recommended replacement life. Equally, other assets may be retained in service for periods longer than their useful lives, for operational reasons. The number and original cost of assets retained beyond their useful lives will be disclosed in UNDP’s financial statements.   </w:t>
      </w:r>
    </w:p>
    <w:p w14:paraId="33893E0F" w14:textId="77777777" w:rsidR="00C83A17" w:rsidRDefault="00C83A17" w:rsidP="00C83A17">
      <w:pPr>
        <w:spacing w:after="0" w:line="259" w:lineRule="auto"/>
        <w:ind w:left="406" w:right="0" w:firstLine="0"/>
        <w:jc w:val="left"/>
      </w:pPr>
      <w:r>
        <w:t xml:space="preserve">  </w:t>
      </w:r>
    </w:p>
    <w:p w14:paraId="331E93E6" w14:textId="77777777" w:rsidR="00C83A17" w:rsidRDefault="00C83A17" w:rsidP="00C83A17">
      <w:pPr>
        <w:numPr>
          <w:ilvl w:val="0"/>
          <w:numId w:val="1"/>
        </w:numPr>
        <w:spacing w:after="0"/>
        <w:ind w:right="28" w:hanging="360"/>
      </w:pPr>
      <w:r>
        <w:t>The useful lives of UNDP assets shall be reviewed at each annual reporting date and if expectations differ from previous estimates, the change(s) shall be accounted for as a change in accounting estimate prospectively by including it in the surplus or deficit in the period of the change, if the change affects the period only or the period of the change and future periods, if the change affects both.</w:t>
      </w:r>
      <w:r>
        <w:rPr>
          <w:b/>
        </w:rPr>
        <w:t xml:space="preserve">  </w:t>
      </w:r>
      <w:r>
        <w:t xml:space="preserve">  </w:t>
      </w:r>
    </w:p>
    <w:p w14:paraId="371CBF37" w14:textId="77777777" w:rsidR="00C83A17" w:rsidRDefault="00C83A17" w:rsidP="00C83A17">
      <w:pPr>
        <w:spacing w:after="0"/>
        <w:ind w:left="0" w:right="28" w:firstLine="0"/>
      </w:pPr>
    </w:p>
    <w:p w14:paraId="64E06098" w14:textId="77777777" w:rsidR="00C83A17" w:rsidRDefault="00C83A17" w:rsidP="00C83A17">
      <w:pPr>
        <w:spacing w:after="0" w:line="259" w:lineRule="auto"/>
        <w:ind w:left="360" w:right="0" w:firstLine="0"/>
        <w:jc w:val="left"/>
      </w:pPr>
      <w:r>
        <w:t xml:space="preserve">    </w:t>
      </w:r>
    </w:p>
    <w:p w14:paraId="0EE6893A" w14:textId="77777777" w:rsidR="00C83A17" w:rsidRDefault="00C83A17" w:rsidP="00C83A17">
      <w:pPr>
        <w:pStyle w:val="Heading1"/>
        <w:spacing w:after="0"/>
        <w:ind w:left="341"/>
      </w:pPr>
      <w:r>
        <w:t xml:space="preserve">Reconciliation    </w:t>
      </w:r>
    </w:p>
    <w:p w14:paraId="3D2B4006" w14:textId="77777777" w:rsidR="00C83A17" w:rsidRDefault="00C83A17" w:rsidP="00C83A17">
      <w:pPr>
        <w:spacing w:after="0" w:line="259" w:lineRule="auto"/>
        <w:ind w:left="360" w:right="0" w:firstLine="0"/>
        <w:jc w:val="left"/>
      </w:pPr>
      <w:r>
        <w:t xml:space="preserve">  </w:t>
      </w:r>
    </w:p>
    <w:p w14:paraId="3F440ABC" w14:textId="24214282" w:rsidR="00C83A17" w:rsidRDefault="00C83A17" w:rsidP="00C83A17">
      <w:pPr>
        <w:numPr>
          <w:ilvl w:val="0"/>
          <w:numId w:val="1"/>
        </w:numPr>
        <w:spacing w:after="0"/>
        <w:ind w:right="28" w:hanging="360"/>
      </w:pPr>
      <w:r>
        <w:lastRenderedPageBreak/>
        <w:t xml:space="preserve">Reconciliation is an accounting process used to compare two sets of records to ensure the figures are in agreement and are accurate.   Given that the furniture and equipment data will be initiated in one module and ultimately recorded in the </w:t>
      </w:r>
      <w:r w:rsidR="00ED004D">
        <w:t xml:space="preserve">Quantum </w:t>
      </w:r>
      <w:r>
        <w:t xml:space="preserve">Asset Module as well as the General Ledger Account, there will be a need to reconcile the data and information in the three modules in </w:t>
      </w:r>
      <w:r w:rsidR="009222CC">
        <w:t xml:space="preserve">Quantum </w:t>
      </w:r>
      <w:r>
        <w:t xml:space="preserve">on a monthly basis.  In addition to reconciliations of accounting data there will also be a requirement to reconcile the physical verification exercise results with furniture and equipment records.  The inter-module reconciliation will be carried out at HQ by the General Operations (GO/BMS), while the reconciliation of physical verification to asset records will be carried out by each CO or HQ unit.  </w:t>
      </w:r>
    </w:p>
    <w:p w14:paraId="305C9EFF" w14:textId="77777777" w:rsidR="00C83A17" w:rsidRDefault="00C83A17" w:rsidP="00C83A17">
      <w:pPr>
        <w:spacing w:after="0" w:line="259" w:lineRule="auto"/>
        <w:ind w:left="360" w:right="0" w:firstLine="0"/>
        <w:jc w:val="left"/>
      </w:pPr>
      <w:r>
        <w:t xml:space="preserve">   </w:t>
      </w:r>
    </w:p>
    <w:p w14:paraId="6C4C6829" w14:textId="77777777" w:rsidR="00C83A17" w:rsidRDefault="00C83A17" w:rsidP="00C83A17">
      <w:pPr>
        <w:numPr>
          <w:ilvl w:val="0"/>
          <w:numId w:val="1"/>
        </w:numPr>
        <w:spacing w:after="0"/>
        <w:ind w:right="28" w:hanging="360"/>
      </w:pPr>
      <w:r>
        <w:t xml:space="preserve">Due to the need to verify the accuracy of records through reconciliations and for purposes of preparing accurate asset information for the financial reporting, there are various reports designed to assist the users to perform the functions of reconciliation and review of asset records. For more details on the types of reports, please refer to the sub section on Reports.  </w:t>
      </w:r>
    </w:p>
    <w:p w14:paraId="4A44F0B1" w14:textId="77777777" w:rsidR="00C83A17" w:rsidRDefault="00C83A17" w:rsidP="00C83A17">
      <w:pPr>
        <w:spacing w:after="0" w:line="259" w:lineRule="auto"/>
        <w:ind w:left="360" w:right="0" w:firstLine="0"/>
        <w:jc w:val="left"/>
      </w:pPr>
      <w:r>
        <w:t xml:space="preserve">   </w:t>
      </w:r>
    </w:p>
    <w:p w14:paraId="51D2A39F" w14:textId="77777777" w:rsidR="00C83A17" w:rsidRDefault="00C83A17" w:rsidP="00C83A17">
      <w:pPr>
        <w:pStyle w:val="Heading1"/>
        <w:spacing w:after="0"/>
        <w:ind w:left="341"/>
      </w:pPr>
      <w:r>
        <w:t>Centralized Functions</w:t>
      </w:r>
      <w:r>
        <w:rPr>
          <w:b w:val="0"/>
        </w:rPr>
        <w:t xml:space="preserve"> </w:t>
      </w:r>
      <w:r>
        <w:t xml:space="preserve"> </w:t>
      </w:r>
    </w:p>
    <w:p w14:paraId="18DBE521" w14:textId="77777777" w:rsidR="00C83A17" w:rsidRDefault="00C83A17" w:rsidP="00C83A17">
      <w:pPr>
        <w:spacing w:after="0" w:line="259" w:lineRule="auto"/>
        <w:ind w:left="360" w:right="0" w:firstLine="0"/>
        <w:jc w:val="left"/>
      </w:pPr>
      <w:r>
        <w:t xml:space="preserve">   </w:t>
      </w:r>
    </w:p>
    <w:p w14:paraId="46F1D8B6" w14:textId="2B0142DB" w:rsidR="00C83A17" w:rsidRDefault="00C83A17" w:rsidP="00C83A17">
      <w:pPr>
        <w:numPr>
          <w:ilvl w:val="0"/>
          <w:numId w:val="1"/>
        </w:numPr>
        <w:spacing w:after="0"/>
        <w:ind w:right="28" w:hanging="360"/>
      </w:pPr>
      <w:r>
        <w:t xml:space="preserve">Centralized functions are those functions that will be performed </w:t>
      </w:r>
      <w:r w:rsidRPr="00810EDB">
        <w:t xml:space="preserve">only </w:t>
      </w:r>
      <w:r>
        <w:t xml:space="preserve">by the </w:t>
      </w:r>
      <w:r w:rsidR="0012136B">
        <w:t>GSSC</w:t>
      </w:r>
      <w:r>
        <w:t xml:space="preserve"> and UNDP NYHQ through Accounts Division, OIMT or by General Operations as detailed out below.   </w:t>
      </w:r>
    </w:p>
    <w:p w14:paraId="4713A106" w14:textId="77777777" w:rsidR="00C83A17" w:rsidRDefault="00C83A17" w:rsidP="00C83A17">
      <w:pPr>
        <w:spacing w:after="0" w:line="259" w:lineRule="auto"/>
        <w:ind w:left="360" w:right="0" w:firstLine="0"/>
        <w:jc w:val="left"/>
      </w:pPr>
      <w:r>
        <w:t xml:space="preserve">   </w:t>
      </w:r>
    </w:p>
    <w:p w14:paraId="57153407" w14:textId="77777777" w:rsidR="00C83A17" w:rsidRDefault="00C83A17" w:rsidP="00C83A17">
      <w:pPr>
        <w:pStyle w:val="Heading1"/>
        <w:spacing w:after="0"/>
        <w:ind w:left="341"/>
      </w:pPr>
      <w:r>
        <w:t xml:space="preserve">Flowchart   </w:t>
      </w:r>
    </w:p>
    <w:p w14:paraId="6379CA01" w14:textId="77777777" w:rsidR="00C83A17" w:rsidRDefault="00C83A17" w:rsidP="00C83A17">
      <w:pPr>
        <w:spacing w:after="0" w:line="259" w:lineRule="auto"/>
        <w:ind w:left="360" w:right="0" w:firstLine="0"/>
        <w:jc w:val="left"/>
      </w:pPr>
      <w:r>
        <w:rPr>
          <w:b/>
        </w:rPr>
        <w:t xml:space="preserve"> </w:t>
      </w:r>
      <w:r>
        <w:t xml:space="preserve"> </w:t>
      </w:r>
    </w:p>
    <w:p w14:paraId="524783EB" w14:textId="77777777" w:rsidR="00C83A17" w:rsidRDefault="00000000" w:rsidP="00C83A17">
      <w:pPr>
        <w:spacing w:after="0" w:line="259" w:lineRule="auto"/>
        <w:ind w:left="360" w:right="0" w:firstLine="0"/>
        <w:jc w:val="left"/>
      </w:pPr>
      <w:hyperlink r:id="rId12" w:history="1">
        <w:r w:rsidR="00C83A17" w:rsidRPr="003547B5">
          <w:rPr>
            <w:rStyle w:val="Hyperlink"/>
          </w:rPr>
          <w:t xml:space="preserve">Month End Process under IPSAS including Depreciation </w:t>
        </w:r>
      </w:hyperlink>
      <w:r w:rsidR="00C83A17" w:rsidRPr="003547B5">
        <w:t xml:space="preserve"> </w:t>
      </w:r>
      <w:hyperlink r:id="rId13">
        <w:r w:rsidR="00C83A17">
          <w:t xml:space="preserve">  </w:t>
        </w:r>
      </w:hyperlink>
    </w:p>
    <w:p w14:paraId="1C9CBC5E" w14:textId="77777777" w:rsidR="00C83A17" w:rsidRDefault="00C83A17" w:rsidP="00C83A17">
      <w:pPr>
        <w:pStyle w:val="Heading1"/>
        <w:spacing w:after="0"/>
        <w:ind w:left="341"/>
      </w:pPr>
    </w:p>
    <w:p w14:paraId="43F32E80" w14:textId="77777777" w:rsidR="00C83A17" w:rsidRDefault="00C83A17" w:rsidP="00C83A17">
      <w:pPr>
        <w:pStyle w:val="Heading1"/>
        <w:spacing w:after="0"/>
        <w:ind w:left="341"/>
      </w:pPr>
      <w:r>
        <w:t xml:space="preserve">Depreciation Method  </w:t>
      </w:r>
    </w:p>
    <w:p w14:paraId="634BC1DC" w14:textId="77777777" w:rsidR="00C83A17" w:rsidRDefault="00C83A17" w:rsidP="00C83A17">
      <w:pPr>
        <w:spacing w:after="0" w:line="259" w:lineRule="auto"/>
        <w:ind w:left="360" w:right="0" w:firstLine="0"/>
        <w:jc w:val="left"/>
      </w:pPr>
      <w:r>
        <w:t xml:space="preserve">  </w:t>
      </w:r>
    </w:p>
    <w:p w14:paraId="6C58FB32" w14:textId="6A6E85ED" w:rsidR="00C83A17" w:rsidRDefault="00C83A17" w:rsidP="00C83A17">
      <w:pPr>
        <w:numPr>
          <w:ilvl w:val="0"/>
          <w:numId w:val="1"/>
        </w:numPr>
        <w:spacing w:after="0"/>
        <w:ind w:right="28" w:hanging="360"/>
      </w:pPr>
      <w:r>
        <w:t xml:space="preserve">Each item of Furniture and Equipment shall be depreciated when it is available for use (i.e. tagged as in-service within the Asset Module), using the straight-line method or equal apportionment/ constant charge over its useful life, on a monthly basis, using the actual month convention.  Depreciation calculations and charges will be carried out </w:t>
      </w:r>
      <w:r w:rsidR="009F4C20">
        <w:t xml:space="preserve">in Quantum </w:t>
      </w:r>
      <w:r>
        <w:t xml:space="preserve">and the necessary expense entries posted to the chart of accounts (COA) associated with the asset.  It is for this reason that it is critical that the COAs associated with the assets are accurate and valid.  </w:t>
      </w:r>
    </w:p>
    <w:p w14:paraId="2CA9AB0C" w14:textId="77777777" w:rsidR="00C83A17" w:rsidRDefault="00C83A17" w:rsidP="00C83A17">
      <w:pPr>
        <w:spacing w:after="0" w:line="259" w:lineRule="auto"/>
        <w:ind w:left="360" w:right="0" w:firstLine="0"/>
        <w:jc w:val="left"/>
      </w:pPr>
      <w:r>
        <w:t xml:space="preserve">   </w:t>
      </w:r>
    </w:p>
    <w:p w14:paraId="0413A4D5" w14:textId="77777777" w:rsidR="00C83A17" w:rsidRDefault="00C83A17" w:rsidP="00C83A17">
      <w:pPr>
        <w:pStyle w:val="Heading1"/>
        <w:spacing w:after="0"/>
        <w:ind w:left="341"/>
      </w:pPr>
      <w:r>
        <w:t>Accounting Useful life</w:t>
      </w:r>
      <w:r>
        <w:rPr>
          <w:b w:val="0"/>
        </w:rPr>
        <w:t xml:space="preserve"> </w:t>
      </w:r>
      <w:r>
        <w:t xml:space="preserve"> </w:t>
      </w:r>
    </w:p>
    <w:p w14:paraId="00A73F12" w14:textId="77777777" w:rsidR="00C83A17" w:rsidRDefault="00C83A17" w:rsidP="00C83A17">
      <w:pPr>
        <w:spacing w:after="0" w:line="259" w:lineRule="auto"/>
        <w:ind w:left="360" w:right="0" w:firstLine="0"/>
        <w:jc w:val="left"/>
      </w:pPr>
      <w:r>
        <w:t xml:space="preserve">  </w:t>
      </w:r>
    </w:p>
    <w:p w14:paraId="2B2B5827" w14:textId="77777777" w:rsidR="00C83A17" w:rsidRDefault="00C83A17" w:rsidP="00C83A17">
      <w:pPr>
        <w:numPr>
          <w:ilvl w:val="0"/>
          <w:numId w:val="2"/>
        </w:numPr>
        <w:spacing w:after="0"/>
        <w:ind w:right="28" w:hanging="360"/>
      </w:pPr>
      <w:r>
        <w:t xml:space="preserve">The useful life is defined as the period of time over which an asset is expected to be available for use. In UNDP, the useful lives for various categories have been established based upon UNDP’s practices of retaining assets in use with the intention to seek a </w:t>
      </w:r>
      <w:r w:rsidRPr="00810EDB">
        <w:t>reasonable average useful life</w:t>
      </w:r>
      <w:r>
        <w:t xml:space="preserve"> across all the population of similar assets within UNDP. In determining the useful lives of various items under Furniture and Equipment the following factors have been considered:   </w:t>
      </w:r>
    </w:p>
    <w:p w14:paraId="38E19601" w14:textId="77777777" w:rsidR="00C83A17" w:rsidRDefault="00C83A17" w:rsidP="00C83A17">
      <w:pPr>
        <w:spacing w:after="0" w:line="259" w:lineRule="auto"/>
        <w:ind w:left="1080" w:right="0" w:firstLine="0"/>
        <w:jc w:val="left"/>
      </w:pPr>
      <w:r>
        <w:t xml:space="preserve">  </w:t>
      </w:r>
    </w:p>
    <w:p w14:paraId="41446E6E" w14:textId="77777777" w:rsidR="00C83A17" w:rsidRDefault="00C83A17" w:rsidP="00C83A17">
      <w:pPr>
        <w:numPr>
          <w:ilvl w:val="1"/>
          <w:numId w:val="2"/>
        </w:numPr>
        <w:spacing w:after="0"/>
        <w:ind w:right="28" w:hanging="360"/>
      </w:pPr>
      <w:r>
        <w:t xml:space="preserve">The expected usage of the asset by the entity;   </w:t>
      </w:r>
    </w:p>
    <w:p w14:paraId="794D4DD2" w14:textId="77777777" w:rsidR="00C83A17" w:rsidRDefault="00C83A17" w:rsidP="00C83A17">
      <w:pPr>
        <w:numPr>
          <w:ilvl w:val="1"/>
          <w:numId w:val="2"/>
        </w:numPr>
        <w:spacing w:after="0"/>
        <w:ind w:right="28" w:hanging="360"/>
      </w:pPr>
      <w:r>
        <w:lastRenderedPageBreak/>
        <w:t xml:space="preserve">The expected physical wear and tear on the asset;   </w:t>
      </w:r>
    </w:p>
    <w:p w14:paraId="25AF65A8" w14:textId="77777777" w:rsidR="00C83A17" w:rsidRDefault="00C83A17" w:rsidP="00C83A17">
      <w:pPr>
        <w:numPr>
          <w:ilvl w:val="1"/>
          <w:numId w:val="2"/>
        </w:numPr>
        <w:spacing w:after="0"/>
        <w:ind w:right="28" w:hanging="360"/>
      </w:pPr>
      <w:r>
        <w:t xml:space="preserve">Technical obsolescence;  </w:t>
      </w:r>
    </w:p>
    <w:p w14:paraId="54DB94F4" w14:textId="77777777" w:rsidR="00C83A17" w:rsidRDefault="00C83A17" w:rsidP="00C83A17">
      <w:pPr>
        <w:numPr>
          <w:ilvl w:val="1"/>
          <w:numId w:val="2"/>
        </w:numPr>
        <w:spacing w:after="0"/>
        <w:ind w:right="28" w:hanging="360"/>
      </w:pPr>
      <w:r>
        <w:t xml:space="preserve">Legal or similar limits on the use of the asset, such as the expiry of related leases  </w:t>
      </w:r>
    </w:p>
    <w:p w14:paraId="06EE33F4" w14:textId="77777777" w:rsidR="00C83A17" w:rsidRDefault="00C83A17" w:rsidP="00C83A17">
      <w:pPr>
        <w:spacing w:after="0" w:line="259" w:lineRule="auto"/>
        <w:ind w:left="360" w:right="0" w:firstLine="0"/>
        <w:jc w:val="left"/>
      </w:pPr>
      <w:r>
        <w:t xml:space="preserve">   </w:t>
      </w:r>
    </w:p>
    <w:p w14:paraId="7B4BCCE9" w14:textId="77777777" w:rsidR="00C83A17" w:rsidRDefault="00C83A17" w:rsidP="00C83A17">
      <w:pPr>
        <w:numPr>
          <w:ilvl w:val="0"/>
          <w:numId w:val="2"/>
        </w:numPr>
        <w:spacing w:after="0"/>
        <w:ind w:right="28" w:hanging="360"/>
      </w:pPr>
      <w:r>
        <w:t xml:space="preserve">The following are the useful lives of various classes of Furniture and Equipment:  </w:t>
      </w:r>
    </w:p>
    <w:p w14:paraId="26010C78" w14:textId="77777777" w:rsidR="00C83A17" w:rsidRPr="00120F0F" w:rsidRDefault="00C83A17" w:rsidP="00C83A17">
      <w:pPr>
        <w:spacing w:after="0" w:line="259" w:lineRule="auto"/>
        <w:ind w:left="360" w:right="0" w:firstLine="0"/>
        <w:jc w:val="left"/>
        <w:rPr>
          <w:rFonts w:eastAsia="Times New Roman" w:cs="Arial"/>
          <w:color w:val="000000" w:themeColor="text1"/>
        </w:rPr>
      </w:pPr>
      <w:r>
        <w:t xml:space="preserve">   </w:t>
      </w:r>
    </w:p>
    <w:tbl>
      <w:tblPr>
        <w:tblW w:w="6655" w:type="dxa"/>
        <w:tblInd w:w="1548" w:type="dxa"/>
        <w:tblCellMar>
          <w:left w:w="0" w:type="dxa"/>
          <w:right w:w="0" w:type="dxa"/>
        </w:tblCellMar>
        <w:tblLook w:val="04A0" w:firstRow="1" w:lastRow="0" w:firstColumn="1" w:lastColumn="0" w:noHBand="0" w:noVBand="1"/>
      </w:tblPr>
      <w:tblGrid>
        <w:gridCol w:w="4590"/>
        <w:gridCol w:w="2065"/>
      </w:tblGrid>
      <w:tr w:rsidR="00C83A17" w:rsidRPr="00120F0F" w14:paraId="064F38D5" w14:textId="77777777" w:rsidTr="00ED39BC">
        <w:trPr>
          <w:trHeight w:val="398"/>
          <w:tblHeader/>
        </w:trPr>
        <w:tc>
          <w:tcPr>
            <w:tcW w:w="45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481AF5" w14:textId="77777777" w:rsidR="00C83A17" w:rsidRPr="00120F0F" w:rsidRDefault="00C83A17" w:rsidP="00ED39BC">
            <w:pPr>
              <w:ind w:left="162"/>
              <w:rPr>
                <w:rFonts w:eastAsia="Times New Roman" w:cs="Arial"/>
                <w:color w:val="000000" w:themeColor="text1"/>
              </w:rPr>
            </w:pPr>
            <w:r w:rsidRPr="00120F0F">
              <w:rPr>
                <w:rFonts w:eastAsia="Times New Roman" w:cs="Arial"/>
                <w:i/>
                <w:iCs/>
                <w:color w:val="000000" w:themeColor="text1"/>
              </w:rPr>
              <w:t>Class</w:t>
            </w:r>
          </w:p>
        </w:tc>
        <w:tc>
          <w:tcPr>
            <w:tcW w:w="2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3EE7CC" w14:textId="77777777" w:rsidR="00C83A17" w:rsidRPr="00120F0F" w:rsidRDefault="00C83A17" w:rsidP="00ED39BC">
            <w:pPr>
              <w:ind w:left="252"/>
              <w:rPr>
                <w:rFonts w:eastAsia="Times New Roman" w:cs="Arial"/>
                <w:color w:val="000000" w:themeColor="text1"/>
              </w:rPr>
            </w:pPr>
            <w:r w:rsidRPr="00120F0F">
              <w:rPr>
                <w:rFonts w:eastAsia="Times New Roman" w:cs="Arial"/>
                <w:i/>
                <w:iCs/>
                <w:color w:val="000000" w:themeColor="text1"/>
              </w:rPr>
              <w:t>Depreciable Life</w:t>
            </w:r>
          </w:p>
        </w:tc>
      </w:tr>
      <w:tr w:rsidR="00C83A17" w:rsidRPr="00120F0F" w14:paraId="521AD4D5" w14:textId="77777777" w:rsidTr="00ED39BC">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43EDF1" w14:textId="77777777" w:rsidR="00C83A17" w:rsidRPr="00120F0F" w:rsidRDefault="00C83A17" w:rsidP="00ED39BC">
            <w:pPr>
              <w:ind w:left="162"/>
              <w:rPr>
                <w:rFonts w:eastAsia="Times New Roman" w:cs="Arial"/>
                <w:color w:val="000000" w:themeColor="text1"/>
              </w:rPr>
            </w:pPr>
            <w:r w:rsidRPr="00120F0F">
              <w:rPr>
                <w:rFonts w:eastAsia="Times New Roman" w:cs="Arial"/>
                <w:color w:val="000000" w:themeColor="text1"/>
              </w:rPr>
              <w:t>IT &amp; Communication Equipment</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0BF09F" w14:textId="77777777" w:rsidR="00C83A17" w:rsidRPr="00120F0F" w:rsidRDefault="00C83A17" w:rsidP="00ED39BC">
            <w:pPr>
              <w:ind w:left="252"/>
              <w:rPr>
                <w:rFonts w:eastAsia="Times New Roman" w:cs="Arial"/>
                <w:color w:val="000000" w:themeColor="text1"/>
              </w:rPr>
            </w:pPr>
            <w:r w:rsidRPr="00120F0F">
              <w:rPr>
                <w:rFonts w:eastAsia="Times New Roman" w:cs="Arial"/>
                <w:color w:val="000000" w:themeColor="text1"/>
              </w:rPr>
              <w:t>8-20 years</w:t>
            </w:r>
          </w:p>
        </w:tc>
      </w:tr>
      <w:tr w:rsidR="00C83A17" w:rsidRPr="00120F0F" w14:paraId="49E137E2" w14:textId="77777777" w:rsidTr="00ED39BC">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63DDBF" w14:textId="77777777" w:rsidR="00C83A17" w:rsidRPr="00120F0F" w:rsidRDefault="00C83A17" w:rsidP="00ED39BC">
            <w:pPr>
              <w:ind w:left="162"/>
              <w:rPr>
                <w:rFonts w:eastAsia="Times New Roman" w:cs="Arial"/>
                <w:color w:val="000000" w:themeColor="text1"/>
              </w:rPr>
            </w:pPr>
            <w:r w:rsidRPr="00120F0F">
              <w:rPr>
                <w:rFonts w:eastAsia="Times New Roman" w:cs="Arial"/>
                <w:color w:val="000000" w:themeColor="text1"/>
              </w:rPr>
              <w:t>Heavy Machinery and other equipment</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3ED795" w14:textId="77777777" w:rsidR="00C83A17" w:rsidRPr="00120F0F" w:rsidRDefault="00C83A17" w:rsidP="00ED39BC">
            <w:pPr>
              <w:ind w:left="252"/>
              <w:rPr>
                <w:rFonts w:eastAsia="Times New Roman" w:cs="Arial"/>
                <w:color w:val="000000" w:themeColor="text1"/>
              </w:rPr>
            </w:pPr>
            <w:r w:rsidRPr="00120F0F">
              <w:rPr>
                <w:rFonts w:eastAsia="Times New Roman" w:cs="Arial"/>
                <w:color w:val="000000" w:themeColor="text1"/>
              </w:rPr>
              <w:t>20 years</w:t>
            </w:r>
          </w:p>
        </w:tc>
      </w:tr>
      <w:tr w:rsidR="00C83A17" w:rsidRPr="00120F0F" w14:paraId="1D05FA37" w14:textId="77777777" w:rsidTr="00ED39BC">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29C140" w14:textId="77777777" w:rsidR="00C83A17" w:rsidRPr="00120F0F" w:rsidRDefault="00C83A17" w:rsidP="00ED39BC">
            <w:pPr>
              <w:ind w:left="162"/>
              <w:rPr>
                <w:rFonts w:eastAsia="Times New Roman" w:cs="Arial"/>
                <w:color w:val="000000" w:themeColor="text1"/>
              </w:rPr>
            </w:pPr>
            <w:r w:rsidRPr="00120F0F">
              <w:rPr>
                <w:rFonts w:eastAsia="Times New Roman" w:cs="Arial"/>
                <w:color w:val="000000" w:themeColor="text1"/>
              </w:rPr>
              <w:t>Vehicles</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7A086" w14:textId="77777777" w:rsidR="00C83A17" w:rsidRPr="00120F0F" w:rsidRDefault="00C83A17" w:rsidP="00ED39BC">
            <w:pPr>
              <w:ind w:left="252"/>
              <w:rPr>
                <w:rFonts w:eastAsia="Times New Roman" w:cs="Arial"/>
                <w:color w:val="000000" w:themeColor="text1"/>
              </w:rPr>
            </w:pPr>
            <w:r w:rsidRPr="00120F0F">
              <w:rPr>
                <w:rFonts w:eastAsia="Times New Roman" w:cs="Arial"/>
                <w:color w:val="000000" w:themeColor="text1"/>
              </w:rPr>
              <w:t>12 years</w:t>
            </w:r>
          </w:p>
        </w:tc>
      </w:tr>
      <w:tr w:rsidR="00C83A17" w:rsidRPr="00120F0F" w14:paraId="5879853F" w14:textId="77777777" w:rsidTr="00ED39BC">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5CD90A" w14:textId="77777777" w:rsidR="00C83A17" w:rsidRPr="00120F0F" w:rsidRDefault="00C83A17" w:rsidP="00ED39BC">
            <w:pPr>
              <w:ind w:left="162"/>
              <w:rPr>
                <w:rFonts w:eastAsia="Times New Roman" w:cs="Arial"/>
                <w:color w:val="000000" w:themeColor="text1"/>
              </w:rPr>
            </w:pPr>
            <w:r w:rsidRPr="00120F0F">
              <w:rPr>
                <w:rFonts w:eastAsia="Times New Roman" w:cs="Arial"/>
                <w:color w:val="000000" w:themeColor="text1"/>
              </w:rPr>
              <w:t>Furniture  &amp; Fixtures</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FF0BEE" w14:textId="77777777" w:rsidR="00C83A17" w:rsidRPr="00120F0F" w:rsidRDefault="00C83A17" w:rsidP="00ED39BC">
            <w:pPr>
              <w:ind w:left="252"/>
              <w:rPr>
                <w:rFonts w:eastAsia="Times New Roman" w:cs="Arial"/>
                <w:color w:val="000000" w:themeColor="text1"/>
              </w:rPr>
            </w:pPr>
            <w:r w:rsidRPr="00120F0F">
              <w:rPr>
                <w:rFonts w:eastAsia="Times New Roman" w:cs="Arial"/>
                <w:color w:val="000000" w:themeColor="text1"/>
              </w:rPr>
              <w:t>15 years</w:t>
            </w:r>
          </w:p>
        </w:tc>
      </w:tr>
    </w:tbl>
    <w:p w14:paraId="48F9AF48" w14:textId="77777777" w:rsidR="00C83A17" w:rsidRPr="00120F0F" w:rsidRDefault="00C83A17" w:rsidP="00C83A17">
      <w:pPr>
        <w:shd w:val="clear" w:color="auto" w:fill="FFFFFF"/>
        <w:textAlignment w:val="top"/>
        <w:rPr>
          <w:rFonts w:eastAsia="Times New Roman" w:cs="Arial"/>
          <w:color w:val="000000" w:themeColor="text1"/>
        </w:rPr>
      </w:pPr>
      <w:r w:rsidRPr="00120F0F">
        <w:rPr>
          <w:rFonts w:eastAsia="Times New Roman" w:cs="Arial"/>
          <w:color w:val="000000" w:themeColor="text1"/>
        </w:rPr>
        <w:t> </w:t>
      </w:r>
    </w:p>
    <w:p w14:paraId="2DC63E7D" w14:textId="77777777" w:rsidR="00C83A17" w:rsidRDefault="00C83A17" w:rsidP="00C83A17">
      <w:pPr>
        <w:numPr>
          <w:ilvl w:val="0"/>
          <w:numId w:val="2"/>
        </w:numPr>
        <w:spacing w:after="0"/>
        <w:ind w:right="28" w:hanging="360"/>
      </w:pPr>
      <w:r>
        <w:t xml:space="preserve">The actual month convention requires that, if an asset were placed into service on January 28, 2010, then the depreciation charge would be for a full month of January and not just for three days.  Therefore depreciation will be charged in full during the month when asset become available for use. </w:t>
      </w:r>
      <w:r>
        <w:rPr>
          <w:i/>
        </w:rPr>
        <w:t>No</w:t>
      </w:r>
      <w:r>
        <w:t xml:space="preserve"> depreciation will be charged in the month of disposal, irrespective of the disposal date.  </w:t>
      </w:r>
    </w:p>
    <w:p w14:paraId="29581961" w14:textId="77777777" w:rsidR="00C83A17" w:rsidRDefault="00C83A17" w:rsidP="00C83A17">
      <w:pPr>
        <w:spacing w:after="0" w:line="259" w:lineRule="auto"/>
        <w:ind w:left="406" w:right="0" w:firstLine="0"/>
        <w:jc w:val="left"/>
      </w:pPr>
      <w:r>
        <w:t xml:space="preserve">  </w:t>
      </w:r>
    </w:p>
    <w:p w14:paraId="33D25B28" w14:textId="77777777" w:rsidR="00C83A17" w:rsidRDefault="00C83A17" w:rsidP="00C83A17">
      <w:pPr>
        <w:numPr>
          <w:ilvl w:val="0"/>
          <w:numId w:val="2"/>
        </w:numPr>
        <w:spacing w:after="0"/>
        <w:ind w:right="28" w:hanging="360"/>
      </w:pPr>
      <w:r>
        <w:t xml:space="preserve">The useful life is defined as the period of time over which an asset is expected to be available for use. In UNDP, the useful lives for various categories have been established based upon UNDP’s practices of retaining assets in use with the intention to seek a </w:t>
      </w:r>
      <w:r>
        <w:rPr>
          <w:b/>
        </w:rPr>
        <w:t xml:space="preserve">reasonable average useful life </w:t>
      </w:r>
      <w:r>
        <w:t xml:space="preserve">across all the population of similar assets within UNDP. Therefore some assets may be disposed of prior to reaching their useful life, following a review of their usefulness at their recommended replacement life. Equally, other assets may be retained in service for periods longer than their useful lives, for operational reasons. The number and original cost of assets retained beyond their useful lives will be disclosed in UNDP’s financial statements.   </w:t>
      </w:r>
    </w:p>
    <w:p w14:paraId="27FFDADC" w14:textId="77777777" w:rsidR="00C83A17" w:rsidRDefault="00C83A17" w:rsidP="00C83A17">
      <w:pPr>
        <w:spacing w:after="0" w:line="259" w:lineRule="auto"/>
        <w:ind w:left="406" w:right="0" w:firstLine="0"/>
        <w:jc w:val="left"/>
      </w:pPr>
      <w:r>
        <w:t xml:space="preserve">  </w:t>
      </w:r>
    </w:p>
    <w:p w14:paraId="1D7BEEC9" w14:textId="77777777" w:rsidR="00C83A17" w:rsidRDefault="00C83A17" w:rsidP="00C83A17">
      <w:pPr>
        <w:numPr>
          <w:ilvl w:val="0"/>
          <w:numId w:val="2"/>
        </w:numPr>
        <w:spacing w:after="0"/>
        <w:ind w:right="28" w:hanging="360"/>
      </w:pPr>
      <w:r>
        <w:t>The useful lives of UNDP assets shall be reviewed at each annual reporting date and if expectations differ from previous estimates, the change(s) shall be accounted for as a change in accounting estimate prospectively by including it in the surplus or deficit in the period of the change, if the change affects the period only or the period of the change and future periods, if the change affects both.</w:t>
      </w:r>
      <w:r>
        <w:rPr>
          <w:b/>
        </w:rPr>
        <w:t xml:space="preserve">  </w:t>
      </w:r>
      <w:r>
        <w:t xml:space="preserve">  </w:t>
      </w:r>
    </w:p>
    <w:p w14:paraId="368445B9" w14:textId="77777777" w:rsidR="00C83A17" w:rsidRDefault="00C83A17" w:rsidP="00C83A17">
      <w:pPr>
        <w:spacing w:after="0" w:line="259" w:lineRule="auto"/>
        <w:ind w:left="406" w:right="0" w:firstLine="0"/>
        <w:jc w:val="left"/>
      </w:pPr>
      <w:r>
        <w:t xml:space="preserve">  </w:t>
      </w:r>
    </w:p>
    <w:p w14:paraId="0B73A699" w14:textId="77777777" w:rsidR="00C83A17" w:rsidRDefault="00C83A17" w:rsidP="00C83A17">
      <w:pPr>
        <w:numPr>
          <w:ilvl w:val="0"/>
          <w:numId w:val="2"/>
        </w:numPr>
        <w:spacing w:after="0"/>
        <w:ind w:right="28" w:hanging="360"/>
      </w:pPr>
      <w:r>
        <w:t xml:space="preserve">The number and original cost of assets retained beyond their useful lives will be disclosed in UNDP’s financial statements (fully depreciated assets).  </w:t>
      </w:r>
    </w:p>
    <w:p w14:paraId="6ECAEDA2" w14:textId="77777777" w:rsidR="00C83A17" w:rsidRDefault="00C83A17" w:rsidP="00C83A17">
      <w:pPr>
        <w:pStyle w:val="ListParagraph"/>
      </w:pPr>
    </w:p>
    <w:p w14:paraId="7A0B4693" w14:textId="77777777" w:rsidR="00C83A17" w:rsidRDefault="00C83A17" w:rsidP="00C83A17">
      <w:pPr>
        <w:spacing w:after="0"/>
        <w:ind w:left="1080" w:right="28" w:firstLine="0"/>
      </w:pPr>
    </w:p>
    <w:p w14:paraId="1D9F76CE" w14:textId="77777777" w:rsidR="00C83A17" w:rsidRDefault="00C83A17" w:rsidP="00C83A17">
      <w:pPr>
        <w:spacing w:after="0" w:line="259" w:lineRule="auto"/>
        <w:ind w:left="360" w:right="0" w:firstLine="0"/>
        <w:jc w:val="left"/>
      </w:pPr>
      <w:r>
        <w:t xml:space="preserve">   </w:t>
      </w:r>
    </w:p>
    <w:p w14:paraId="099D8AFD" w14:textId="77777777" w:rsidR="00C83A17" w:rsidRDefault="00C83A17" w:rsidP="00C83A17">
      <w:pPr>
        <w:pStyle w:val="Heading1"/>
        <w:spacing w:after="0"/>
        <w:ind w:left="341"/>
      </w:pPr>
      <w:r>
        <w:t>Recommended Replacement Life</w:t>
      </w:r>
      <w:r>
        <w:rPr>
          <w:b w:val="0"/>
        </w:rPr>
        <w:t xml:space="preserve"> </w:t>
      </w:r>
      <w:r>
        <w:t xml:space="preserve"> </w:t>
      </w:r>
    </w:p>
    <w:p w14:paraId="7BE9D0B1" w14:textId="77777777" w:rsidR="00C83A17" w:rsidRPr="00C63BEF" w:rsidRDefault="00C83A17" w:rsidP="00C83A17">
      <w:pPr>
        <w:spacing w:after="0" w:line="259" w:lineRule="auto"/>
        <w:ind w:left="360" w:right="0" w:firstLine="0"/>
        <w:jc w:val="left"/>
        <w:rPr>
          <w:sz w:val="20"/>
          <w:szCs w:val="20"/>
        </w:rPr>
      </w:pPr>
      <w:r w:rsidRPr="00C63BEF">
        <w:rPr>
          <w:sz w:val="20"/>
          <w:szCs w:val="20"/>
        </w:rPr>
        <w:t xml:space="preserve">   </w:t>
      </w:r>
    </w:p>
    <w:p w14:paraId="53F80CC3" w14:textId="77777777" w:rsidR="00C83A17" w:rsidRDefault="00C83A17" w:rsidP="00C83A17">
      <w:pPr>
        <w:numPr>
          <w:ilvl w:val="0"/>
          <w:numId w:val="3"/>
        </w:numPr>
        <w:spacing w:after="0"/>
        <w:ind w:right="28" w:hanging="360"/>
      </w:pPr>
      <w:r>
        <w:lastRenderedPageBreak/>
        <w:t xml:space="preserve">For operational purposes and to ensure safety standards, UNDP has a set of recommended replacement lives for assets that are to be used to trigger the review of the asset condition and for disposal if assessed to be ready for disposal.    </w:t>
      </w:r>
    </w:p>
    <w:p w14:paraId="6E0E756C" w14:textId="77777777" w:rsidR="00C83A17" w:rsidRPr="00C63BEF" w:rsidRDefault="00C83A17" w:rsidP="00C83A17">
      <w:pPr>
        <w:spacing w:after="0" w:line="259" w:lineRule="auto"/>
        <w:ind w:left="406" w:right="0" w:firstLine="0"/>
        <w:jc w:val="left"/>
        <w:rPr>
          <w:sz w:val="20"/>
          <w:szCs w:val="20"/>
        </w:rPr>
      </w:pPr>
      <w:r w:rsidRPr="00C63BEF">
        <w:rPr>
          <w:sz w:val="20"/>
          <w:szCs w:val="20"/>
        </w:rPr>
        <w:t xml:space="preserve">  </w:t>
      </w:r>
    </w:p>
    <w:p w14:paraId="3BBB8F3E" w14:textId="77777777" w:rsidR="00C83A17" w:rsidRDefault="00C83A17" w:rsidP="00C83A17">
      <w:pPr>
        <w:numPr>
          <w:ilvl w:val="0"/>
          <w:numId w:val="3"/>
        </w:numPr>
        <w:spacing w:after="0"/>
        <w:ind w:right="28" w:hanging="360"/>
      </w:pPr>
      <w:r>
        <w:t xml:space="preserve">When determining whether or not an asset should remain in use or is to be disposed, please consider that ICT assets (from desktops, laptops, servers, printers, video-conferencing equipment, etc.) may need to be replaced when one or more of the conditions below are met:  </w:t>
      </w:r>
    </w:p>
    <w:p w14:paraId="257323A7" w14:textId="77777777" w:rsidR="00C83A17" w:rsidRPr="00C63BEF" w:rsidRDefault="00C83A17" w:rsidP="00C83A17">
      <w:pPr>
        <w:spacing w:after="0" w:line="259" w:lineRule="auto"/>
        <w:ind w:left="1080" w:right="0" w:firstLine="0"/>
        <w:jc w:val="left"/>
        <w:rPr>
          <w:sz w:val="20"/>
          <w:szCs w:val="20"/>
        </w:rPr>
      </w:pPr>
      <w:r w:rsidRPr="00C63BEF">
        <w:rPr>
          <w:sz w:val="20"/>
          <w:szCs w:val="20"/>
        </w:rPr>
        <w:t xml:space="preserve">  </w:t>
      </w:r>
    </w:p>
    <w:p w14:paraId="4D2B873F" w14:textId="77777777" w:rsidR="00C83A17" w:rsidRDefault="00C83A17" w:rsidP="00C83A17">
      <w:pPr>
        <w:numPr>
          <w:ilvl w:val="1"/>
          <w:numId w:val="3"/>
        </w:numPr>
        <w:spacing w:after="0"/>
        <w:ind w:right="28" w:hanging="360"/>
      </w:pPr>
      <w:r>
        <w:t xml:space="preserve">The life of an ICT asset reaches End of Support by the manufacturer, and/or  </w:t>
      </w:r>
    </w:p>
    <w:p w14:paraId="19F063F7" w14:textId="77777777" w:rsidR="00C83A17" w:rsidRDefault="00C83A17" w:rsidP="00C83A17">
      <w:pPr>
        <w:numPr>
          <w:ilvl w:val="1"/>
          <w:numId w:val="3"/>
        </w:numPr>
        <w:spacing w:after="0"/>
        <w:ind w:right="28" w:hanging="360"/>
      </w:pPr>
      <w:r>
        <w:t xml:space="preserve">A manufacturer’s extended warranty expires, and/or  </w:t>
      </w:r>
    </w:p>
    <w:p w14:paraId="3637B9AC" w14:textId="77777777" w:rsidR="00C83A17" w:rsidRDefault="00C83A17" w:rsidP="00C83A17">
      <w:pPr>
        <w:numPr>
          <w:ilvl w:val="1"/>
          <w:numId w:val="3"/>
        </w:numPr>
        <w:spacing w:after="0"/>
        <w:ind w:right="28" w:hanging="360"/>
      </w:pPr>
      <w:r>
        <w:t xml:space="preserve">The annual extended warranty cost for an ICT asset exceeds net book value, and/or  </w:t>
      </w:r>
    </w:p>
    <w:p w14:paraId="12DAC524" w14:textId="2D14C20B" w:rsidR="00C83A17" w:rsidRDefault="00C83A17" w:rsidP="00C83A17">
      <w:pPr>
        <w:numPr>
          <w:ilvl w:val="1"/>
          <w:numId w:val="3"/>
        </w:numPr>
        <w:spacing w:after="0"/>
        <w:ind w:right="28" w:hanging="360"/>
      </w:pPr>
      <w:r>
        <w:t xml:space="preserve">An ICT asset is no longer compatible with UNDP standard Operating System, Personal Productivity Tools (word processing, spreadsheet, presentation, etc.), and UNDP enterprise applications such as </w:t>
      </w:r>
      <w:r w:rsidR="00F24845">
        <w:t xml:space="preserve">Quantum </w:t>
      </w:r>
      <w:r>
        <w:t xml:space="preserve">ERP, Email and Unified Communication systems, and/or   </w:t>
      </w:r>
    </w:p>
    <w:p w14:paraId="6DC9BEC2" w14:textId="77777777" w:rsidR="00C83A17" w:rsidRDefault="00C83A17" w:rsidP="00C83A17">
      <w:pPr>
        <w:numPr>
          <w:ilvl w:val="1"/>
          <w:numId w:val="3"/>
        </w:numPr>
        <w:spacing w:after="0"/>
        <w:ind w:right="28" w:hanging="360"/>
      </w:pPr>
      <w:r>
        <w:t xml:space="preserve">Costs to address/prevent risk of security or repair of an ICT asset exceed its value.   </w:t>
      </w:r>
    </w:p>
    <w:p w14:paraId="6FA7F9A8" w14:textId="77777777" w:rsidR="00C83A17" w:rsidRPr="00C63BEF" w:rsidRDefault="00C83A17" w:rsidP="00C83A17">
      <w:pPr>
        <w:spacing w:after="0" w:line="259" w:lineRule="auto"/>
        <w:ind w:left="360" w:right="0" w:firstLine="0"/>
        <w:jc w:val="left"/>
        <w:rPr>
          <w:sz w:val="20"/>
          <w:szCs w:val="20"/>
        </w:rPr>
      </w:pPr>
      <w:r w:rsidRPr="00C63BEF">
        <w:rPr>
          <w:sz w:val="20"/>
          <w:szCs w:val="20"/>
        </w:rPr>
        <w:t xml:space="preserve">   </w:t>
      </w:r>
    </w:p>
    <w:p w14:paraId="1A219280" w14:textId="77777777" w:rsidR="00C83A17" w:rsidRDefault="00C83A17" w:rsidP="00C83A17">
      <w:pPr>
        <w:numPr>
          <w:ilvl w:val="0"/>
          <w:numId w:val="3"/>
        </w:numPr>
        <w:spacing w:after="0"/>
        <w:ind w:right="28" w:hanging="360"/>
      </w:pPr>
      <w:r>
        <w:t xml:space="preserve">The table below reflects the recommended replacement lives to be used for assessing whether or not an asset should remain in use or is to be disposed.  Because these recommended replacement lives are different from the accounting useful lives used for depreciation, there will be instances where UNDP offices dispose assets that still have NBV within the records.  The project will absorb the remaining NBV less any cash from sale of the asset as an expense. The recommended replacement lives are as follows:   </w:t>
      </w:r>
    </w:p>
    <w:p w14:paraId="14FE04B4" w14:textId="77777777" w:rsidR="00C83A17" w:rsidRPr="00C63BEF" w:rsidRDefault="00C83A17" w:rsidP="00C83A17">
      <w:pPr>
        <w:shd w:val="clear" w:color="auto" w:fill="FFFFFF"/>
        <w:textAlignment w:val="top"/>
        <w:rPr>
          <w:rFonts w:eastAsia="Times New Roman" w:cs="Arial"/>
          <w:color w:val="000000" w:themeColor="text1"/>
          <w:sz w:val="20"/>
          <w:szCs w:val="20"/>
        </w:rPr>
      </w:pPr>
    </w:p>
    <w:tbl>
      <w:tblPr>
        <w:tblW w:w="8640" w:type="dxa"/>
        <w:tblInd w:w="828" w:type="dxa"/>
        <w:tblCellMar>
          <w:left w:w="0" w:type="dxa"/>
          <w:right w:w="0" w:type="dxa"/>
        </w:tblCellMar>
        <w:tblLook w:val="04A0" w:firstRow="1" w:lastRow="0" w:firstColumn="1" w:lastColumn="0" w:noHBand="0" w:noVBand="1"/>
      </w:tblPr>
      <w:tblGrid>
        <w:gridCol w:w="6120"/>
        <w:gridCol w:w="2520"/>
      </w:tblGrid>
      <w:tr w:rsidR="00C83A17" w:rsidRPr="00120F0F" w14:paraId="16EB8A79" w14:textId="77777777" w:rsidTr="00ED39BC">
        <w:trPr>
          <w:trHeight w:val="668"/>
          <w:tblHeader/>
        </w:trPr>
        <w:tc>
          <w:tcPr>
            <w:tcW w:w="61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073CD0" w14:textId="77777777" w:rsidR="00C83A17" w:rsidRPr="00120F0F" w:rsidRDefault="00C83A17" w:rsidP="00ED39BC">
            <w:pPr>
              <w:ind w:left="0"/>
              <w:jc w:val="left"/>
              <w:rPr>
                <w:rFonts w:eastAsia="Times New Roman" w:cs="Arial"/>
                <w:color w:val="000000" w:themeColor="text1"/>
              </w:rPr>
            </w:pPr>
            <w:r w:rsidRPr="00120F0F">
              <w:rPr>
                <w:rFonts w:eastAsia="Times New Roman" w:cs="Arial"/>
                <w:b/>
                <w:bCs/>
                <w:color w:val="000000" w:themeColor="text1"/>
              </w:rPr>
              <w:t>Classifications of ICT Assets</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B4E614" w14:textId="77777777" w:rsidR="00C83A17" w:rsidRPr="00120F0F" w:rsidRDefault="00C83A17" w:rsidP="00ED39BC">
            <w:pPr>
              <w:ind w:left="72"/>
              <w:jc w:val="left"/>
              <w:rPr>
                <w:rFonts w:eastAsia="Times New Roman" w:cs="Arial"/>
                <w:color w:val="000000" w:themeColor="text1"/>
              </w:rPr>
            </w:pPr>
            <w:r w:rsidRPr="00120F0F">
              <w:rPr>
                <w:rFonts w:eastAsia="Times New Roman" w:cs="Arial"/>
                <w:b/>
                <w:bCs/>
                <w:color w:val="000000" w:themeColor="text1"/>
              </w:rPr>
              <w:t>Recommended Replacement Life (Years)</w:t>
            </w:r>
          </w:p>
        </w:tc>
      </w:tr>
      <w:tr w:rsidR="00C83A17" w:rsidRPr="00120F0F" w14:paraId="054836D6" w14:textId="77777777" w:rsidTr="00ED39BC">
        <w:trPr>
          <w:trHeight w:val="30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2C0B70"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Desktops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BFAC77"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4</w:t>
            </w:r>
          </w:p>
        </w:tc>
      </w:tr>
      <w:tr w:rsidR="00C83A17" w:rsidRPr="00120F0F" w14:paraId="2FDF52CA"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6C6EE8"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Laptops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E798D7"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4</w:t>
            </w:r>
          </w:p>
        </w:tc>
      </w:tr>
      <w:tr w:rsidR="00C83A17" w:rsidRPr="00120F0F" w14:paraId="06F1B542"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77CB54"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 xml:space="preserve">Servers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014FA"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1F8D46E4"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C350F7"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Network/Telecom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05B8BF"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7D80E22E"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E55899"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Printers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8488CC"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4</w:t>
            </w:r>
          </w:p>
        </w:tc>
      </w:tr>
      <w:tr w:rsidR="00C83A17" w:rsidRPr="00120F0F" w14:paraId="7733BDDE"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720A60"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Video Conferencing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04F4E5"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4</w:t>
            </w:r>
          </w:p>
        </w:tc>
      </w:tr>
      <w:tr w:rsidR="00C83A17" w:rsidRPr="00120F0F" w14:paraId="3445A832"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07F532"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Other Equipment (with purchase value of &gt;=$50,000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564945"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10</w:t>
            </w:r>
          </w:p>
        </w:tc>
      </w:tr>
      <w:tr w:rsidR="00C83A17" w:rsidRPr="00120F0F" w14:paraId="4451B42D" w14:textId="77777777" w:rsidTr="00ED39BC">
        <w:trPr>
          <w:trHeight w:val="28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524E9E" w14:textId="77777777" w:rsidR="00C83A17" w:rsidRPr="00120F0F" w:rsidRDefault="00C83A17" w:rsidP="00ED39BC">
            <w:pPr>
              <w:ind w:left="0"/>
              <w:rPr>
                <w:rFonts w:eastAsia="Times New Roman" w:cs="Arial"/>
                <w:color w:val="000000" w:themeColor="text1"/>
              </w:rPr>
            </w:pPr>
            <w:r w:rsidRPr="00120F0F">
              <w:rPr>
                <w:rFonts w:eastAsia="Times New Roman" w:cs="Arial"/>
                <w:b/>
                <w:bCs/>
                <w:color w:val="000000" w:themeColor="text1"/>
              </w:rPr>
              <w:t>Communications &amp; Other Equipment include:</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9EF60A" w14:textId="77777777" w:rsidR="00C83A17" w:rsidRPr="00120F0F" w:rsidRDefault="00C83A17" w:rsidP="00ED39BC">
            <w:pPr>
              <w:ind w:left="72"/>
              <w:rPr>
                <w:rFonts w:eastAsia="Times New Roman" w:cs="Arial"/>
                <w:color w:val="000000" w:themeColor="text1"/>
              </w:rPr>
            </w:pPr>
          </w:p>
        </w:tc>
      </w:tr>
      <w:tr w:rsidR="00C83A17" w:rsidRPr="00120F0F" w14:paraId="56B9900A" w14:textId="77777777" w:rsidTr="00ED39BC">
        <w:trPr>
          <w:trHeight w:val="32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79F453"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A. Automated file storage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9EBCB1"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532C3C44" w14:textId="77777777" w:rsidTr="00ED39BC">
        <w:trPr>
          <w:trHeight w:val="32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D7C340" w14:textId="77777777" w:rsidR="00C83A17" w:rsidRPr="00120F0F" w:rsidRDefault="00C83A17" w:rsidP="00ED39BC">
            <w:pPr>
              <w:ind w:left="0"/>
              <w:jc w:val="left"/>
              <w:rPr>
                <w:rFonts w:eastAsia="Times New Roman" w:cs="Arial"/>
                <w:color w:val="000000" w:themeColor="text1"/>
              </w:rPr>
            </w:pPr>
            <w:r w:rsidRPr="00120F0F">
              <w:rPr>
                <w:rFonts w:eastAsia="Times New Roman" w:cs="Arial"/>
                <w:color w:val="000000" w:themeColor="text1"/>
              </w:rPr>
              <w:t>B. Equipment for production, storage, and viewing of microforms.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A2C25"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53209DD7" w14:textId="77777777" w:rsidTr="00ED39BC">
        <w:trPr>
          <w:trHeight w:val="305"/>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10D8B7" w14:textId="77777777" w:rsidR="00C83A17" w:rsidRPr="00120F0F" w:rsidRDefault="00C83A17" w:rsidP="00ED39BC">
            <w:pPr>
              <w:ind w:left="0"/>
              <w:jc w:val="left"/>
              <w:rPr>
                <w:rFonts w:eastAsia="Times New Roman" w:cs="Arial"/>
                <w:color w:val="000000" w:themeColor="text1"/>
              </w:rPr>
            </w:pPr>
            <w:r>
              <w:rPr>
                <w:rFonts w:eastAsia="Times New Roman" w:cs="Arial"/>
                <w:color w:val="000000" w:themeColor="text1"/>
              </w:rPr>
              <w:t xml:space="preserve">C. </w:t>
            </w:r>
            <w:r w:rsidRPr="00120F0F">
              <w:rPr>
                <w:rFonts w:eastAsia="Times New Roman" w:cs="Arial"/>
                <w:color w:val="000000" w:themeColor="text1"/>
              </w:rPr>
              <w:t>Document processing equipment such as photocopiers, mail handling equipment, check handling equipment, and shredders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56C06C"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42903BFA" w14:textId="77777777" w:rsidTr="00ED39BC">
        <w:trPr>
          <w:trHeight w:val="32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541A32"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lastRenderedPageBreak/>
              <w:t>D. Television studio, cameras, and other photographic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7DC8E2"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1E8001FB" w14:textId="77777777" w:rsidTr="00ED39BC">
        <w:trPr>
          <w:trHeight w:val="32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59B04D"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E. Printing and binding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CD4294"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172CECA5" w14:textId="77777777" w:rsidTr="00ED39BC">
        <w:trPr>
          <w:trHeight w:val="32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D8C856" w14:textId="77777777" w:rsidR="00C83A17" w:rsidRPr="00120F0F" w:rsidRDefault="00C83A17" w:rsidP="00ED39BC">
            <w:pPr>
              <w:ind w:left="0"/>
              <w:jc w:val="left"/>
              <w:rPr>
                <w:rFonts w:eastAsia="Times New Roman" w:cs="Arial"/>
                <w:color w:val="000000" w:themeColor="text1"/>
              </w:rPr>
            </w:pPr>
            <w:r w:rsidRPr="00120F0F">
              <w:rPr>
                <w:rFonts w:eastAsia="Times New Roman" w:cs="Arial"/>
                <w:color w:val="000000" w:themeColor="text1"/>
              </w:rPr>
              <w:t>F. Office equipment, devices, and machines other than IT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8A5007"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688FE127" w14:textId="77777777" w:rsidTr="00ED39BC">
        <w:trPr>
          <w:trHeight w:val="320"/>
        </w:trPr>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7F3016" w14:textId="77777777" w:rsidR="00C83A17" w:rsidRPr="00120F0F" w:rsidRDefault="00C83A17" w:rsidP="00ED39BC">
            <w:pPr>
              <w:ind w:left="0"/>
              <w:rPr>
                <w:rFonts w:eastAsia="Times New Roman" w:cs="Arial"/>
                <w:color w:val="000000" w:themeColor="text1"/>
              </w:rPr>
            </w:pPr>
            <w:r w:rsidRPr="00120F0F">
              <w:rPr>
                <w:rFonts w:eastAsia="Times New Roman" w:cs="Arial"/>
                <w:color w:val="000000" w:themeColor="text1"/>
              </w:rPr>
              <w:t>G. Uninterruptible power supplies (UPS)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49408" w14:textId="77777777" w:rsidR="00C83A17" w:rsidRPr="00120F0F" w:rsidRDefault="00C83A17" w:rsidP="00ED39BC">
            <w:pPr>
              <w:ind w:left="72"/>
              <w:rPr>
                <w:rFonts w:eastAsia="Times New Roman" w:cs="Arial"/>
                <w:color w:val="000000" w:themeColor="text1"/>
              </w:rPr>
            </w:pPr>
            <w:r w:rsidRPr="00120F0F">
              <w:rPr>
                <w:rFonts w:eastAsia="Times New Roman" w:cs="Arial"/>
                <w:color w:val="000000" w:themeColor="text1"/>
              </w:rPr>
              <w:t>7</w:t>
            </w:r>
          </w:p>
        </w:tc>
      </w:tr>
      <w:tr w:rsidR="00C83A17" w:rsidRPr="00120F0F" w14:paraId="6C53F7AA" w14:textId="77777777" w:rsidTr="00ED39BC">
        <w:tc>
          <w:tcPr>
            <w:tcW w:w="61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BD84E2" w14:textId="77777777" w:rsidR="00C83A17" w:rsidRPr="00120F0F" w:rsidRDefault="00C83A17" w:rsidP="00ED39BC">
            <w:pPr>
              <w:ind w:left="-18"/>
              <w:textAlignment w:val="top"/>
              <w:rPr>
                <w:rFonts w:eastAsia="Times New Roman" w:cs="Arial"/>
                <w:color w:val="000000" w:themeColor="text1"/>
              </w:rPr>
            </w:pPr>
            <w:r w:rsidRPr="00120F0F">
              <w:rPr>
                <w:rFonts w:eastAsia="Times New Roman" w:cs="Arial"/>
                <w:b/>
                <w:bCs/>
                <w:color w:val="000000" w:themeColor="text1"/>
              </w:rPr>
              <w:t>Other classes of assets</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9FCBA2" w14:textId="77777777" w:rsidR="00C83A17" w:rsidRPr="00120F0F" w:rsidRDefault="00C83A17" w:rsidP="00ED39BC">
            <w:pPr>
              <w:textAlignment w:val="top"/>
              <w:rPr>
                <w:rFonts w:eastAsia="Times New Roman" w:cs="Arial"/>
                <w:color w:val="000000" w:themeColor="text1"/>
              </w:rPr>
            </w:pPr>
            <w:r w:rsidRPr="00120F0F">
              <w:rPr>
                <w:rFonts w:eastAsia="Times New Roman" w:cs="Arial"/>
                <w:color w:val="000000" w:themeColor="text1"/>
              </w:rPr>
              <w:t> </w:t>
            </w:r>
          </w:p>
        </w:tc>
      </w:tr>
      <w:tr w:rsidR="00C83A17" w:rsidRPr="00120F0F" w14:paraId="33236CC8" w14:textId="77777777" w:rsidTr="00ED39BC">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131A9" w14:textId="77777777" w:rsidR="00C83A17" w:rsidRPr="00120F0F" w:rsidRDefault="00C83A17" w:rsidP="00ED39BC">
            <w:pPr>
              <w:ind w:left="-18"/>
              <w:textAlignment w:val="top"/>
              <w:rPr>
                <w:rFonts w:eastAsia="Times New Roman" w:cs="Arial"/>
                <w:color w:val="000000" w:themeColor="text1"/>
              </w:rPr>
            </w:pPr>
            <w:r w:rsidRPr="00120F0F">
              <w:rPr>
                <w:rFonts w:eastAsia="Times New Roman" w:cs="Arial"/>
                <w:color w:val="000000" w:themeColor="text1"/>
              </w:rPr>
              <w:t>Heavy Machinery and other equipment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EB18CF" w14:textId="77777777" w:rsidR="00C83A17" w:rsidRPr="00120F0F" w:rsidRDefault="00C83A17" w:rsidP="00ED39BC">
            <w:pPr>
              <w:ind w:left="72"/>
              <w:textAlignment w:val="top"/>
              <w:rPr>
                <w:rFonts w:eastAsia="Times New Roman" w:cs="Arial"/>
                <w:color w:val="000000" w:themeColor="text1"/>
              </w:rPr>
            </w:pPr>
            <w:r w:rsidRPr="00120F0F">
              <w:rPr>
                <w:rFonts w:eastAsia="Times New Roman" w:cs="Arial"/>
                <w:color w:val="000000" w:themeColor="text1"/>
              </w:rPr>
              <w:t>10</w:t>
            </w:r>
          </w:p>
        </w:tc>
      </w:tr>
      <w:tr w:rsidR="00C83A17" w:rsidRPr="00120F0F" w14:paraId="586EC4BB" w14:textId="77777777" w:rsidTr="00ED39BC">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10F53E" w14:textId="77777777" w:rsidR="00C83A17" w:rsidRPr="00120F0F" w:rsidRDefault="00C83A17" w:rsidP="00ED39BC">
            <w:pPr>
              <w:ind w:left="-18"/>
              <w:textAlignment w:val="top"/>
              <w:rPr>
                <w:rFonts w:eastAsia="Times New Roman" w:cs="Arial"/>
                <w:color w:val="000000" w:themeColor="text1"/>
              </w:rPr>
            </w:pPr>
            <w:r w:rsidRPr="00120F0F">
              <w:rPr>
                <w:rFonts w:eastAsia="Times New Roman" w:cs="Arial"/>
                <w:color w:val="000000" w:themeColor="text1"/>
              </w:rPr>
              <w:t>Vehicles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9D5265" w14:textId="77777777" w:rsidR="00C83A17" w:rsidRPr="00120F0F" w:rsidRDefault="00C83A17" w:rsidP="00ED39BC">
            <w:pPr>
              <w:ind w:left="72"/>
              <w:textAlignment w:val="top"/>
              <w:rPr>
                <w:rFonts w:eastAsia="Times New Roman" w:cs="Arial"/>
                <w:color w:val="000000" w:themeColor="text1"/>
              </w:rPr>
            </w:pPr>
            <w:r w:rsidRPr="00120F0F">
              <w:rPr>
                <w:rFonts w:eastAsia="Times New Roman" w:cs="Arial"/>
                <w:color w:val="000000" w:themeColor="text1"/>
              </w:rPr>
              <w:t>5</w:t>
            </w:r>
          </w:p>
        </w:tc>
      </w:tr>
      <w:tr w:rsidR="00C83A17" w:rsidRPr="00120F0F" w14:paraId="4E61D764" w14:textId="77777777" w:rsidTr="00ED39BC">
        <w:tc>
          <w:tcPr>
            <w:tcW w:w="61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7E242F" w14:textId="77777777" w:rsidR="00C83A17" w:rsidRPr="00120F0F" w:rsidRDefault="00C83A17" w:rsidP="00ED39BC">
            <w:pPr>
              <w:ind w:left="-18"/>
              <w:textAlignment w:val="top"/>
              <w:rPr>
                <w:rFonts w:eastAsia="Times New Roman" w:cs="Arial"/>
                <w:color w:val="000000" w:themeColor="text1"/>
              </w:rPr>
            </w:pPr>
            <w:r w:rsidRPr="00120F0F">
              <w:rPr>
                <w:rFonts w:eastAsia="Times New Roman" w:cs="Arial"/>
                <w:color w:val="000000" w:themeColor="text1"/>
              </w:rPr>
              <w:t>Furniture and Fixtures</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3EE847" w14:textId="77777777" w:rsidR="00C83A17" w:rsidRPr="00120F0F" w:rsidRDefault="00C83A17" w:rsidP="00ED39BC">
            <w:pPr>
              <w:ind w:left="72"/>
              <w:textAlignment w:val="top"/>
              <w:rPr>
                <w:rFonts w:eastAsia="Times New Roman" w:cs="Arial"/>
                <w:color w:val="000000" w:themeColor="text1"/>
              </w:rPr>
            </w:pPr>
            <w:r w:rsidRPr="00120F0F">
              <w:rPr>
                <w:rFonts w:eastAsia="Times New Roman" w:cs="Arial"/>
                <w:color w:val="000000" w:themeColor="text1"/>
              </w:rPr>
              <w:t>8</w:t>
            </w:r>
          </w:p>
        </w:tc>
      </w:tr>
    </w:tbl>
    <w:p w14:paraId="1A90EAE0" w14:textId="77777777" w:rsidR="00C83A17" w:rsidRDefault="00C83A17" w:rsidP="00C83A17">
      <w:pPr>
        <w:spacing w:after="0" w:line="259" w:lineRule="auto"/>
        <w:ind w:left="360" w:right="0" w:firstLine="0"/>
        <w:jc w:val="left"/>
      </w:pPr>
    </w:p>
    <w:p w14:paraId="448F5B28" w14:textId="77777777" w:rsidR="00C83A17" w:rsidRDefault="00C83A17" w:rsidP="00C83A17">
      <w:pPr>
        <w:pStyle w:val="Heading1"/>
        <w:spacing w:after="0"/>
        <w:ind w:left="341"/>
      </w:pPr>
      <w:r>
        <w:t xml:space="preserve">Residual Value </w:t>
      </w:r>
      <w:r>
        <w:rPr>
          <w:b w:val="0"/>
        </w:rPr>
        <w:t xml:space="preserve"> </w:t>
      </w:r>
      <w:r>
        <w:t xml:space="preserve"> </w:t>
      </w:r>
    </w:p>
    <w:p w14:paraId="4AA8E7D2" w14:textId="77777777" w:rsidR="00C83A17" w:rsidRDefault="00C83A17" w:rsidP="00C83A17">
      <w:pPr>
        <w:spacing w:after="0" w:line="259" w:lineRule="auto"/>
        <w:ind w:left="360" w:right="0" w:firstLine="0"/>
        <w:jc w:val="left"/>
      </w:pPr>
      <w:r>
        <w:t xml:space="preserve">  </w:t>
      </w:r>
    </w:p>
    <w:p w14:paraId="4CD23868" w14:textId="77777777" w:rsidR="00C83A17" w:rsidRDefault="00C83A17" w:rsidP="00C83A17">
      <w:pPr>
        <w:spacing w:after="0"/>
        <w:ind w:left="1080" w:right="28" w:hanging="360"/>
      </w:pPr>
      <w:r>
        <w:t>19.</w:t>
      </w:r>
      <w:r>
        <w:rPr>
          <w:rFonts w:ascii="Arial" w:eastAsia="Arial" w:hAnsi="Arial" w:cs="Arial"/>
        </w:rPr>
        <w:t xml:space="preserve"> </w:t>
      </w:r>
      <w:r>
        <w:t xml:space="preserve">UNDP has determined that, given the expected pattern of usage, there are no residual values for any fixed assets following full depreciation. The residual value of all UNDP Furniture and Equipment will be zero after depreciation.  All assets that remain in use with zero net book value will be disclosed in the financial statements at the end of every financial year.  </w:t>
      </w:r>
    </w:p>
    <w:p w14:paraId="37CAD4CF" w14:textId="77777777" w:rsidR="00C83A17" w:rsidRDefault="00C83A17" w:rsidP="00C83A17">
      <w:pPr>
        <w:spacing w:after="0" w:line="259" w:lineRule="auto"/>
        <w:ind w:left="360" w:right="0" w:firstLine="0"/>
        <w:jc w:val="left"/>
      </w:pPr>
      <w:r>
        <w:t xml:space="preserve">   </w:t>
      </w:r>
    </w:p>
    <w:p w14:paraId="7B52D9AB" w14:textId="77777777" w:rsidR="00C83A17" w:rsidRDefault="00C83A17" w:rsidP="00C83A17">
      <w:pPr>
        <w:pStyle w:val="Heading1"/>
        <w:spacing w:after="0"/>
        <w:ind w:left="341"/>
      </w:pPr>
      <w:r>
        <w:t>Reconciliation</w:t>
      </w:r>
      <w:r>
        <w:rPr>
          <w:b w:val="0"/>
        </w:rPr>
        <w:t xml:space="preserve"> </w:t>
      </w:r>
      <w:r>
        <w:t xml:space="preserve"> </w:t>
      </w:r>
    </w:p>
    <w:p w14:paraId="34757879" w14:textId="77777777" w:rsidR="00C83A17" w:rsidRDefault="00C83A17" w:rsidP="00C83A17">
      <w:pPr>
        <w:spacing w:after="0" w:line="259" w:lineRule="auto"/>
        <w:ind w:left="360" w:right="0" w:firstLine="0"/>
        <w:jc w:val="left"/>
      </w:pPr>
      <w:r>
        <w:t xml:space="preserve">   </w:t>
      </w:r>
    </w:p>
    <w:p w14:paraId="199B7D78" w14:textId="1064FDE2" w:rsidR="00C83A17" w:rsidRDefault="00C83A17" w:rsidP="00C83A17">
      <w:pPr>
        <w:spacing w:after="0"/>
        <w:ind w:left="1080" w:right="28" w:hanging="360"/>
      </w:pPr>
      <w:r>
        <w:t>20.</w:t>
      </w:r>
      <w:r>
        <w:rPr>
          <w:rFonts w:ascii="Arial" w:eastAsia="Arial" w:hAnsi="Arial" w:cs="Arial"/>
        </w:rPr>
        <w:t xml:space="preserve"> </w:t>
      </w:r>
      <w:r>
        <w:t xml:space="preserve">The following reconciliation reviews will be carried out by the relevant sections or divisions. Most are prepared by the </w:t>
      </w:r>
      <w:r w:rsidR="00F24845">
        <w:t xml:space="preserve">Quantum </w:t>
      </w:r>
      <w:r>
        <w:t xml:space="preserve">system.  </w:t>
      </w:r>
    </w:p>
    <w:p w14:paraId="7D293151" w14:textId="77777777" w:rsidR="00C83A17" w:rsidRPr="00120F0F" w:rsidRDefault="00C83A17" w:rsidP="00C83A17">
      <w:pPr>
        <w:shd w:val="clear" w:color="auto" w:fill="FFFFFF"/>
        <w:textAlignment w:val="top"/>
        <w:rPr>
          <w:rFonts w:eastAsia="Times New Roman" w:cs="Arial"/>
          <w:color w:val="000000" w:themeColor="text1"/>
        </w:rPr>
      </w:pPr>
    </w:p>
    <w:tbl>
      <w:tblPr>
        <w:tblW w:w="0" w:type="auto"/>
        <w:tblInd w:w="828" w:type="dxa"/>
        <w:tblLayout w:type="fixed"/>
        <w:tblCellMar>
          <w:left w:w="0" w:type="dxa"/>
          <w:right w:w="0" w:type="dxa"/>
        </w:tblCellMar>
        <w:tblLook w:val="04A0" w:firstRow="1" w:lastRow="0" w:firstColumn="1" w:lastColumn="0" w:noHBand="0" w:noVBand="1"/>
      </w:tblPr>
      <w:tblGrid>
        <w:gridCol w:w="4410"/>
        <w:gridCol w:w="1260"/>
        <w:gridCol w:w="2970"/>
      </w:tblGrid>
      <w:tr w:rsidR="00C83A17" w:rsidRPr="001D5CFB" w14:paraId="3AD220C9" w14:textId="77777777" w:rsidTr="00CF45AD">
        <w:trPr>
          <w:tblHead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55F0A1" w14:textId="77777777" w:rsidR="00C83A17" w:rsidRPr="001D5CFB" w:rsidRDefault="00C83A17" w:rsidP="00ED39BC">
            <w:pPr>
              <w:ind w:left="0"/>
              <w:rPr>
                <w:rFonts w:eastAsia="Times New Roman" w:cs="Arial"/>
                <w:color w:val="000000" w:themeColor="text1"/>
              </w:rPr>
            </w:pPr>
            <w:r w:rsidRPr="001D5CFB">
              <w:rPr>
                <w:rFonts w:eastAsia="Times New Roman" w:cs="Arial"/>
                <w:b/>
                <w:bCs/>
                <w:i/>
                <w:iCs/>
                <w:color w:val="000000" w:themeColor="text1"/>
              </w:rPr>
              <w:t>Reconciliation Review</w:t>
            </w:r>
          </w:p>
        </w:tc>
        <w:tc>
          <w:tcPr>
            <w:tcW w:w="12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FD223C" w14:textId="77777777" w:rsidR="00C83A17" w:rsidRPr="001D5CFB" w:rsidRDefault="00C83A17" w:rsidP="00ED39BC">
            <w:pPr>
              <w:ind w:left="0"/>
              <w:rPr>
                <w:rFonts w:eastAsia="Times New Roman" w:cs="Arial"/>
                <w:color w:val="000000" w:themeColor="text1"/>
              </w:rPr>
            </w:pPr>
            <w:r w:rsidRPr="001D5CFB">
              <w:rPr>
                <w:rFonts w:eastAsia="Times New Roman" w:cs="Arial"/>
                <w:b/>
                <w:bCs/>
                <w:i/>
                <w:iCs/>
                <w:color w:val="000000" w:themeColor="text1"/>
              </w:rPr>
              <w:t>Periodicity</w:t>
            </w:r>
          </w:p>
        </w:tc>
        <w:tc>
          <w:tcPr>
            <w:tcW w:w="29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173827" w14:textId="77777777" w:rsidR="00C83A17" w:rsidRPr="001D5CFB" w:rsidRDefault="00C83A17" w:rsidP="00ED39BC">
            <w:pPr>
              <w:ind w:left="72"/>
              <w:rPr>
                <w:rFonts w:eastAsia="Times New Roman" w:cs="Arial"/>
                <w:color w:val="000000" w:themeColor="text1"/>
              </w:rPr>
            </w:pPr>
            <w:r w:rsidRPr="001D5CFB">
              <w:rPr>
                <w:rFonts w:eastAsia="Times New Roman" w:cs="Arial"/>
                <w:b/>
                <w:bCs/>
                <w:i/>
                <w:iCs/>
                <w:color w:val="000000" w:themeColor="text1"/>
              </w:rPr>
              <w:t>Responsible Unit</w:t>
            </w:r>
          </w:p>
        </w:tc>
      </w:tr>
      <w:tr w:rsidR="00C83A17" w:rsidRPr="001D5CFB" w14:paraId="78150881" w14:textId="77777777" w:rsidTr="00CF45AD">
        <w:trPr>
          <w:trHeight w:val="422"/>
        </w:trPr>
        <w:tc>
          <w:tcPr>
            <w:tcW w:w="4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409916" w14:textId="0D6C916F" w:rsidR="00C83A17" w:rsidRPr="001D5CFB" w:rsidRDefault="00C83A17" w:rsidP="00ED39BC">
            <w:pPr>
              <w:tabs>
                <w:tab w:val="left" w:pos="-18"/>
              </w:tabs>
              <w:ind w:left="0"/>
              <w:rPr>
                <w:rFonts w:eastAsia="Times New Roman" w:cs="Arial"/>
                <w:color w:val="000000" w:themeColor="text1"/>
              </w:rPr>
            </w:pPr>
            <w:r w:rsidRPr="001D5CFB">
              <w:rPr>
                <w:rFonts w:eastAsia="Times New Roman" w:cs="Arial"/>
                <w:color w:val="000000" w:themeColor="text1"/>
              </w:rPr>
              <w:t xml:space="preserve">1.     </w:t>
            </w:r>
            <w:r w:rsidR="00F24845">
              <w:rPr>
                <w:rFonts w:eastAsia="Times New Roman" w:cs="Arial"/>
                <w:color w:val="000000" w:themeColor="text1"/>
              </w:rPr>
              <w:t xml:space="preserve">Quantum </w:t>
            </w:r>
            <w:r w:rsidRPr="001D5CFB">
              <w:rPr>
                <w:rFonts w:eastAsia="Times New Roman" w:cs="Arial"/>
                <w:color w:val="000000" w:themeColor="text1"/>
              </w:rPr>
              <w:t>Asset Module to GL Asset Accounts</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3DA136" w14:textId="77777777" w:rsidR="00C83A17" w:rsidRPr="001D5CFB" w:rsidRDefault="00C83A17" w:rsidP="00ED39BC">
            <w:pPr>
              <w:ind w:left="0"/>
              <w:rPr>
                <w:rFonts w:eastAsia="Times New Roman" w:cs="Arial"/>
                <w:color w:val="000000" w:themeColor="text1"/>
              </w:rPr>
            </w:pPr>
            <w:r w:rsidRPr="001D5CFB">
              <w:rPr>
                <w:rFonts w:eastAsia="Times New Roman" w:cs="Arial"/>
                <w:color w:val="000000" w:themeColor="text1"/>
              </w:rPr>
              <w:t>Quarterly</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5E3B47"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General Operations/BMS</w:t>
            </w:r>
          </w:p>
        </w:tc>
      </w:tr>
      <w:tr w:rsidR="00C83A17" w:rsidRPr="001D5CFB" w14:paraId="28247601" w14:textId="77777777" w:rsidTr="00CF45AD">
        <w:trPr>
          <w:trHeight w:val="431"/>
        </w:trPr>
        <w:tc>
          <w:tcPr>
            <w:tcW w:w="4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F4246A" w14:textId="30D037BB" w:rsidR="00C83A17" w:rsidRPr="001D5CFB" w:rsidRDefault="00C83A17" w:rsidP="00ED39BC">
            <w:pPr>
              <w:tabs>
                <w:tab w:val="left" w:pos="-18"/>
              </w:tabs>
              <w:ind w:left="0"/>
              <w:rPr>
                <w:rFonts w:eastAsia="Times New Roman" w:cs="Arial"/>
                <w:color w:val="000000" w:themeColor="text1"/>
              </w:rPr>
            </w:pPr>
            <w:r w:rsidRPr="001D5CFB">
              <w:rPr>
                <w:rFonts w:eastAsia="Times New Roman" w:cs="Arial"/>
                <w:color w:val="000000" w:themeColor="text1"/>
              </w:rPr>
              <w:t xml:space="preserve">2.     </w:t>
            </w:r>
            <w:r w:rsidR="00F24845">
              <w:rPr>
                <w:rFonts w:eastAsia="Times New Roman" w:cs="Arial"/>
                <w:color w:val="000000" w:themeColor="text1"/>
              </w:rPr>
              <w:t xml:space="preserve">Quantum </w:t>
            </w:r>
            <w:r w:rsidRPr="001D5CFB">
              <w:rPr>
                <w:rFonts w:eastAsia="Times New Roman" w:cs="Arial"/>
                <w:color w:val="000000" w:themeColor="text1"/>
              </w:rPr>
              <w:t xml:space="preserve">items procured (P2P) to </w:t>
            </w:r>
            <w:r w:rsidR="009C0A05">
              <w:rPr>
                <w:rFonts w:eastAsia="Times New Roman" w:cs="Arial"/>
                <w:color w:val="000000" w:themeColor="text1"/>
              </w:rPr>
              <w:t xml:space="preserve">Quantum </w:t>
            </w:r>
            <w:r w:rsidRPr="001D5CFB">
              <w:rPr>
                <w:rFonts w:eastAsia="Times New Roman" w:cs="Arial"/>
                <w:color w:val="000000" w:themeColor="text1"/>
              </w:rPr>
              <w:t xml:space="preserve">Asset Module </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25D18D" w14:textId="77777777" w:rsidR="00C83A17" w:rsidRPr="001D5CFB" w:rsidRDefault="00C83A17" w:rsidP="00ED39BC">
            <w:pPr>
              <w:ind w:left="0"/>
              <w:rPr>
                <w:rFonts w:eastAsia="Times New Roman" w:cs="Arial"/>
                <w:color w:val="000000" w:themeColor="text1"/>
              </w:rPr>
            </w:pPr>
            <w:r w:rsidRPr="001D5CFB">
              <w:rPr>
                <w:rFonts w:eastAsia="Times New Roman" w:cs="Arial"/>
                <w:color w:val="000000" w:themeColor="text1"/>
              </w:rPr>
              <w:t>Monthly</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E4B5EF"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General Operations/BMS</w:t>
            </w:r>
          </w:p>
        </w:tc>
      </w:tr>
      <w:tr w:rsidR="00C83A17" w:rsidRPr="001D5CFB" w14:paraId="5DA2039C" w14:textId="77777777" w:rsidTr="00CF45AD">
        <w:trPr>
          <w:trHeight w:val="719"/>
        </w:trPr>
        <w:tc>
          <w:tcPr>
            <w:tcW w:w="4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CFD8A9" w14:textId="3EF6CE56" w:rsidR="00C83A17" w:rsidRPr="001D5CFB" w:rsidRDefault="00C83A17" w:rsidP="00ED39BC">
            <w:pPr>
              <w:tabs>
                <w:tab w:val="left" w:pos="-18"/>
              </w:tabs>
              <w:ind w:left="0"/>
              <w:rPr>
                <w:rFonts w:eastAsia="Times New Roman" w:cs="Arial"/>
                <w:color w:val="000000" w:themeColor="text1"/>
              </w:rPr>
            </w:pPr>
            <w:r w:rsidRPr="001D5CFB">
              <w:rPr>
                <w:rFonts w:eastAsia="Times New Roman" w:cs="Arial"/>
                <w:color w:val="000000" w:themeColor="text1"/>
              </w:rPr>
              <w:t xml:space="preserve">3.     Clearing Account Transactions to Assets Recorded in </w:t>
            </w:r>
            <w:r w:rsidR="00F24845">
              <w:rPr>
                <w:rFonts w:eastAsia="Times New Roman" w:cs="Arial"/>
                <w:color w:val="000000" w:themeColor="text1"/>
              </w:rPr>
              <w:t xml:space="preserve">the Quantum </w:t>
            </w:r>
            <w:r w:rsidRPr="001D5CFB">
              <w:rPr>
                <w:rFonts w:eastAsia="Times New Roman" w:cs="Arial"/>
                <w:color w:val="000000" w:themeColor="text1"/>
              </w:rPr>
              <w:t>Asset Module</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B78C22" w14:textId="77777777" w:rsidR="00C83A17" w:rsidRPr="001D5CFB" w:rsidRDefault="00C83A17" w:rsidP="00ED39BC">
            <w:pPr>
              <w:ind w:left="0"/>
              <w:rPr>
                <w:rFonts w:eastAsia="Times New Roman" w:cs="Arial"/>
                <w:color w:val="000000" w:themeColor="text1"/>
              </w:rPr>
            </w:pPr>
            <w:r w:rsidRPr="001D5CFB">
              <w:rPr>
                <w:rFonts w:eastAsia="Times New Roman" w:cs="Arial"/>
                <w:color w:val="000000" w:themeColor="text1"/>
              </w:rPr>
              <w:t>Monthly</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D87CBCA"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Accounts Division</w:t>
            </w:r>
          </w:p>
        </w:tc>
      </w:tr>
      <w:tr w:rsidR="00C83A17" w:rsidRPr="001D5CFB" w14:paraId="00760B56" w14:textId="77777777" w:rsidTr="00CF45AD">
        <w:trPr>
          <w:trHeight w:val="1781"/>
        </w:trPr>
        <w:tc>
          <w:tcPr>
            <w:tcW w:w="4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7161FF" w14:textId="3E2D287B" w:rsidR="00C83A17" w:rsidRPr="001D5CFB" w:rsidRDefault="00C83A17" w:rsidP="00ED39BC">
            <w:pPr>
              <w:tabs>
                <w:tab w:val="left" w:pos="-18"/>
              </w:tabs>
              <w:ind w:left="0"/>
              <w:rPr>
                <w:rFonts w:eastAsia="Times New Roman" w:cs="Arial"/>
                <w:color w:val="000000" w:themeColor="text1"/>
              </w:rPr>
            </w:pPr>
            <w:r w:rsidRPr="001D5CFB">
              <w:rPr>
                <w:rFonts w:eastAsia="Times New Roman" w:cs="Arial"/>
                <w:color w:val="000000" w:themeColor="text1"/>
              </w:rPr>
              <w:t>4.    Asset</w:t>
            </w:r>
            <w:r w:rsidR="00CF45AD">
              <w:rPr>
                <w:rFonts w:eastAsia="Times New Roman" w:cs="Arial"/>
                <w:color w:val="000000" w:themeColor="text1"/>
              </w:rPr>
              <w:t xml:space="preserve"> </w:t>
            </w:r>
            <w:r w:rsidRPr="001D5CFB">
              <w:rPr>
                <w:rFonts w:eastAsia="Times New Roman" w:cs="Arial"/>
                <w:color w:val="000000" w:themeColor="text1"/>
              </w:rPr>
              <w:t>Movement Schedule Reconciliation</w:t>
            </w:r>
          </w:p>
          <w:p w14:paraId="37C943D0" w14:textId="77777777" w:rsidR="00C83A17" w:rsidRPr="001D5CFB" w:rsidRDefault="00C83A17" w:rsidP="00ED39BC">
            <w:pPr>
              <w:pStyle w:val="ListParagraph"/>
              <w:numPr>
                <w:ilvl w:val="0"/>
                <w:numId w:val="14"/>
              </w:numPr>
              <w:tabs>
                <w:tab w:val="left" w:pos="-18"/>
              </w:tabs>
              <w:spacing w:after="0" w:line="240" w:lineRule="auto"/>
              <w:ind w:right="0"/>
              <w:jc w:val="left"/>
              <w:rPr>
                <w:rFonts w:eastAsia="Times New Roman" w:cs="Arial"/>
                <w:color w:val="000000" w:themeColor="text1"/>
              </w:rPr>
            </w:pPr>
            <w:r w:rsidRPr="001D5CFB">
              <w:rPr>
                <w:rFonts w:eastAsia="Times New Roman" w:cs="Arial"/>
                <w:color w:val="000000" w:themeColor="text1"/>
              </w:rPr>
              <w:t>Opening Balance</w:t>
            </w:r>
          </w:p>
          <w:p w14:paraId="3F3B43AD" w14:textId="77777777" w:rsidR="00C83A17" w:rsidRPr="001D5CFB" w:rsidRDefault="00C83A17" w:rsidP="00ED39BC">
            <w:pPr>
              <w:pStyle w:val="ListParagraph"/>
              <w:numPr>
                <w:ilvl w:val="0"/>
                <w:numId w:val="14"/>
              </w:numPr>
              <w:tabs>
                <w:tab w:val="left" w:pos="-18"/>
              </w:tabs>
              <w:spacing w:after="0" w:line="240" w:lineRule="auto"/>
              <w:ind w:right="0"/>
              <w:jc w:val="left"/>
              <w:rPr>
                <w:rFonts w:eastAsia="Times New Roman" w:cs="Arial"/>
                <w:color w:val="000000" w:themeColor="text1"/>
              </w:rPr>
            </w:pPr>
            <w:r w:rsidRPr="001D5CFB">
              <w:rPr>
                <w:rFonts w:eastAsia="Times New Roman" w:cs="Arial"/>
                <w:color w:val="000000" w:themeColor="text1"/>
              </w:rPr>
              <w:t>Acquisitions</w:t>
            </w:r>
          </w:p>
          <w:p w14:paraId="5FA017C4" w14:textId="77777777" w:rsidR="00C83A17" w:rsidRPr="001D5CFB" w:rsidRDefault="00C83A17" w:rsidP="00ED39BC">
            <w:pPr>
              <w:pStyle w:val="ListParagraph"/>
              <w:numPr>
                <w:ilvl w:val="0"/>
                <w:numId w:val="14"/>
              </w:numPr>
              <w:tabs>
                <w:tab w:val="left" w:pos="-18"/>
              </w:tabs>
              <w:spacing w:after="0" w:line="240" w:lineRule="auto"/>
              <w:ind w:right="0"/>
              <w:jc w:val="left"/>
              <w:rPr>
                <w:rFonts w:eastAsia="Times New Roman" w:cs="Arial"/>
                <w:color w:val="000000" w:themeColor="text1"/>
              </w:rPr>
            </w:pPr>
            <w:r w:rsidRPr="001D5CFB">
              <w:rPr>
                <w:rFonts w:eastAsia="Times New Roman" w:cs="Arial"/>
                <w:color w:val="000000" w:themeColor="text1"/>
              </w:rPr>
              <w:t>Adjustments</w:t>
            </w:r>
          </w:p>
          <w:p w14:paraId="1BBCA4D4" w14:textId="77777777" w:rsidR="00C83A17" w:rsidRPr="001D5CFB" w:rsidRDefault="00C83A17" w:rsidP="00ED39BC">
            <w:pPr>
              <w:pStyle w:val="ListParagraph"/>
              <w:numPr>
                <w:ilvl w:val="0"/>
                <w:numId w:val="14"/>
              </w:numPr>
              <w:tabs>
                <w:tab w:val="left" w:pos="-18"/>
              </w:tabs>
              <w:spacing w:after="0" w:line="240" w:lineRule="auto"/>
              <w:ind w:right="0"/>
              <w:jc w:val="left"/>
              <w:rPr>
                <w:rFonts w:eastAsia="Times New Roman" w:cs="Arial"/>
                <w:color w:val="000000" w:themeColor="text1"/>
              </w:rPr>
            </w:pPr>
            <w:r w:rsidRPr="001D5CFB">
              <w:rPr>
                <w:rFonts w:eastAsia="Times New Roman" w:cs="Arial"/>
                <w:color w:val="000000" w:themeColor="text1"/>
              </w:rPr>
              <w:t>Disposals</w:t>
            </w:r>
          </w:p>
          <w:p w14:paraId="2F0C1EB3" w14:textId="77777777" w:rsidR="00C83A17" w:rsidRPr="001D5CFB" w:rsidRDefault="00C83A17" w:rsidP="00ED39BC">
            <w:pPr>
              <w:pStyle w:val="ListParagraph"/>
              <w:numPr>
                <w:ilvl w:val="0"/>
                <w:numId w:val="14"/>
              </w:numPr>
              <w:tabs>
                <w:tab w:val="left" w:pos="-18"/>
              </w:tabs>
              <w:spacing w:after="0" w:line="240" w:lineRule="auto"/>
              <w:ind w:right="0"/>
              <w:jc w:val="left"/>
              <w:rPr>
                <w:rFonts w:eastAsia="Times New Roman" w:cs="Arial"/>
                <w:color w:val="000000" w:themeColor="text1"/>
              </w:rPr>
            </w:pPr>
            <w:r w:rsidRPr="001D5CFB">
              <w:rPr>
                <w:rFonts w:eastAsia="Times New Roman" w:cs="Arial"/>
                <w:color w:val="000000" w:themeColor="text1"/>
              </w:rPr>
              <w:t>Closing Balance</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029004" w14:textId="77777777" w:rsidR="00C83A17" w:rsidRPr="001D5CFB" w:rsidRDefault="00C83A17" w:rsidP="00ED39BC">
            <w:pPr>
              <w:ind w:left="0"/>
              <w:rPr>
                <w:rFonts w:eastAsia="Times New Roman" w:cs="Arial"/>
                <w:color w:val="000000" w:themeColor="text1"/>
              </w:rPr>
            </w:pPr>
            <w:r w:rsidRPr="001D5CFB">
              <w:rPr>
                <w:rFonts w:eastAsia="Times New Roman" w:cs="Arial"/>
                <w:color w:val="000000" w:themeColor="text1"/>
              </w:rPr>
              <w:t>Quarterly</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5BE53D"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General Operations/BMS</w:t>
            </w:r>
          </w:p>
        </w:tc>
      </w:tr>
      <w:tr w:rsidR="00C83A17" w:rsidRPr="001D5CFB" w14:paraId="513D39AE" w14:textId="77777777" w:rsidTr="00CF45AD">
        <w:tc>
          <w:tcPr>
            <w:tcW w:w="4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9DA23B" w14:textId="1D568512" w:rsidR="00C83A17" w:rsidRPr="001D5CFB" w:rsidRDefault="00C83A17" w:rsidP="00ED39BC">
            <w:pPr>
              <w:tabs>
                <w:tab w:val="left" w:pos="-18"/>
              </w:tabs>
              <w:ind w:left="0"/>
              <w:rPr>
                <w:rFonts w:eastAsia="Times New Roman" w:cs="Arial"/>
                <w:color w:val="000000" w:themeColor="text1"/>
              </w:rPr>
            </w:pPr>
            <w:r w:rsidRPr="001D5CFB">
              <w:rPr>
                <w:rFonts w:eastAsia="Times New Roman" w:cs="Arial"/>
                <w:color w:val="000000" w:themeColor="text1"/>
              </w:rPr>
              <w:lastRenderedPageBreak/>
              <w:t>5.     Physical Verification Results to</w:t>
            </w:r>
            <w:r w:rsidR="009C0A05">
              <w:rPr>
                <w:rFonts w:eastAsia="Times New Roman" w:cs="Arial"/>
                <w:color w:val="000000" w:themeColor="text1"/>
              </w:rPr>
              <w:t xml:space="preserve"> Quantum</w:t>
            </w:r>
            <w:r w:rsidRPr="001D5CFB">
              <w:rPr>
                <w:rFonts w:eastAsia="Times New Roman" w:cs="Arial"/>
                <w:color w:val="000000" w:themeColor="text1"/>
              </w:rPr>
              <w:t xml:space="preserve"> Asset Management Reports - </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658FEB" w14:textId="77777777" w:rsidR="00C83A17" w:rsidRPr="001D5CFB" w:rsidRDefault="00C83A17" w:rsidP="00ED39BC">
            <w:pPr>
              <w:ind w:left="0"/>
              <w:rPr>
                <w:rFonts w:eastAsia="Times New Roman" w:cs="Arial"/>
                <w:color w:val="000000" w:themeColor="text1"/>
              </w:rPr>
            </w:pPr>
            <w:r w:rsidRPr="001D5CFB">
              <w:rPr>
                <w:rFonts w:eastAsia="Times New Roman" w:cs="Arial"/>
                <w:color w:val="000000" w:themeColor="text1"/>
              </w:rPr>
              <w:t>Bi-Annual</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4F118C"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 xml:space="preserve">All Business </w:t>
            </w:r>
            <w:r>
              <w:rPr>
                <w:rFonts w:eastAsia="Times New Roman" w:cs="Arial"/>
                <w:color w:val="000000" w:themeColor="text1"/>
              </w:rPr>
              <w:t>Units-HQ and CO</w:t>
            </w:r>
          </w:p>
          <w:p w14:paraId="1C610659"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 </w:t>
            </w:r>
          </w:p>
        </w:tc>
      </w:tr>
      <w:tr w:rsidR="00C83A17" w:rsidRPr="001D5CFB" w14:paraId="03D82FEC" w14:textId="77777777" w:rsidTr="00CF45AD">
        <w:tc>
          <w:tcPr>
            <w:tcW w:w="4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DAAEA4" w14:textId="010106A0" w:rsidR="00C83A17" w:rsidRPr="001D5CFB" w:rsidRDefault="00C83A17" w:rsidP="00ED39BC">
            <w:pPr>
              <w:tabs>
                <w:tab w:val="left" w:pos="-18"/>
              </w:tabs>
              <w:ind w:left="0"/>
              <w:rPr>
                <w:rFonts w:eastAsia="Times New Roman" w:cs="Arial"/>
                <w:color w:val="000000" w:themeColor="text1"/>
              </w:rPr>
            </w:pPr>
            <w:r w:rsidRPr="001D5CFB">
              <w:rPr>
                <w:rFonts w:eastAsia="Times New Roman" w:cs="Arial"/>
                <w:color w:val="000000" w:themeColor="text1"/>
              </w:rPr>
              <w:t>6.    Depreciation</w:t>
            </w:r>
            <w:r w:rsidR="00B403B7">
              <w:rPr>
                <w:rFonts w:eastAsia="Times New Roman" w:cs="Arial"/>
                <w:color w:val="000000" w:themeColor="text1"/>
              </w:rPr>
              <w:t xml:space="preserve"> </w:t>
            </w:r>
            <w:r w:rsidRPr="001D5CFB">
              <w:rPr>
                <w:rFonts w:eastAsia="Times New Roman" w:cs="Arial"/>
                <w:color w:val="000000" w:themeColor="text1"/>
              </w:rPr>
              <w:t>Charge-Global Reconciliation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6A88AB" w14:textId="77777777" w:rsidR="00C83A17" w:rsidRPr="001D5CFB" w:rsidRDefault="00C83A17" w:rsidP="00ED39BC">
            <w:pPr>
              <w:ind w:left="0"/>
              <w:rPr>
                <w:rFonts w:eastAsia="Times New Roman" w:cs="Arial"/>
                <w:color w:val="000000" w:themeColor="text1"/>
              </w:rPr>
            </w:pPr>
            <w:r w:rsidRPr="001D5CFB">
              <w:rPr>
                <w:rFonts w:eastAsia="Times New Roman" w:cs="Arial"/>
                <w:color w:val="000000" w:themeColor="text1"/>
              </w:rPr>
              <w:t> Quarterly</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09DFB6" w14:textId="77777777" w:rsidR="00C83A17" w:rsidRPr="001D5CFB" w:rsidRDefault="00C83A17" w:rsidP="00ED39BC">
            <w:pPr>
              <w:ind w:left="72"/>
              <w:rPr>
                <w:rFonts w:eastAsia="Times New Roman" w:cs="Arial"/>
                <w:color w:val="000000" w:themeColor="text1"/>
              </w:rPr>
            </w:pPr>
            <w:r w:rsidRPr="001D5CFB">
              <w:rPr>
                <w:rFonts w:eastAsia="Times New Roman" w:cs="Arial"/>
                <w:color w:val="000000" w:themeColor="text1"/>
              </w:rPr>
              <w:t>General Operations/BMS</w:t>
            </w:r>
            <w:r w:rsidRPr="001D5CFB" w:rsidDel="0003056C">
              <w:rPr>
                <w:rFonts w:eastAsia="Times New Roman" w:cs="Arial"/>
                <w:color w:val="000000" w:themeColor="text1"/>
              </w:rPr>
              <w:t xml:space="preserve"> </w:t>
            </w:r>
            <w:r w:rsidRPr="001D5CFB">
              <w:rPr>
                <w:rFonts w:eastAsia="Times New Roman" w:cs="Arial"/>
                <w:color w:val="000000" w:themeColor="text1"/>
              </w:rPr>
              <w:t>and Accounts Division, NYHQ</w:t>
            </w:r>
          </w:p>
        </w:tc>
      </w:tr>
    </w:tbl>
    <w:p w14:paraId="17B32C4E" w14:textId="77777777" w:rsidR="00C83A17" w:rsidRDefault="00C83A17" w:rsidP="00C83A17">
      <w:pPr>
        <w:shd w:val="clear" w:color="auto" w:fill="FFFFFF"/>
        <w:textAlignment w:val="top"/>
        <w:rPr>
          <w:rFonts w:eastAsia="Times New Roman" w:cs="Arial"/>
          <w:color w:val="000000" w:themeColor="text1"/>
        </w:rPr>
      </w:pPr>
      <w:r w:rsidRPr="00120F0F">
        <w:rPr>
          <w:rFonts w:eastAsia="Times New Roman" w:cs="Arial"/>
          <w:color w:val="000000" w:themeColor="text1"/>
        </w:rPr>
        <w:t>  </w:t>
      </w:r>
    </w:p>
    <w:p w14:paraId="4FB76F52" w14:textId="77777777" w:rsidR="00C83A17" w:rsidRPr="00120F0F" w:rsidRDefault="00C83A17" w:rsidP="00C83A17">
      <w:pPr>
        <w:shd w:val="clear" w:color="auto" w:fill="FFFFFF"/>
        <w:textAlignment w:val="top"/>
        <w:outlineLvl w:val="1"/>
        <w:rPr>
          <w:rFonts w:eastAsia="Times New Roman" w:cs="Arial"/>
          <w:color w:val="000000" w:themeColor="text1"/>
        </w:rPr>
      </w:pPr>
      <w:r w:rsidRPr="00120F0F">
        <w:rPr>
          <w:rFonts w:eastAsia="Times New Roman" w:cs="Arial"/>
          <w:b/>
          <w:bCs/>
          <w:color w:val="000000" w:themeColor="text1"/>
        </w:rPr>
        <w:t>R</w:t>
      </w:r>
      <w:r>
        <w:rPr>
          <w:rFonts w:eastAsia="Times New Roman" w:cs="Arial"/>
          <w:b/>
          <w:bCs/>
          <w:color w:val="000000" w:themeColor="text1"/>
        </w:rPr>
        <w:t>eports</w:t>
      </w:r>
    </w:p>
    <w:p w14:paraId="4B368577" w14:textId="77777777" w:rsidR="00C83A17" w:rsidRPr="00C63BEF" w:rsidRDefault="00C83A17" w:rsidP="00C83A17">
      <w:pPr>
        <w:spacing w:after="0"/>
        <w:ind w:left="370" w:right="28"/>
        <w:rPr>
          <w:sz w:val="20"/>
          <w:szCs w:val="20"/>
        </w:rPr>
      </w:pPr>
    </w:p>
    <w:p w14:paraId="05AAF68F" w14:textId="77777777" w:rsidR="00C83A17" w:rsidRDefault="00C83A17" w:rsidP="00C83A17">
      <w:pPr>
        <w:spacing w:after="0"/>
        <w:ind w:left="370" w:right="28"/>
      </w:pPr>
      <w:r>
        <w:t xml:space="preserve">The following reports will be available for management and operational use:  </w:t>
      </w:r>
    </w:p>
    <w:p w14:paraId="0AC174A4" w14:textId="77777777" w:rsidR="00C83A17" w:rsidRPr="00C63BEF" w:rsidRDefault="00C83A17" w:rsidP="00C83A17">
      <w:pPr>
        <w:spacing w:after="0" w:line="259" w:lineRule="auto"/>
        <w:ind w:left="360" w:right="0" w:firstLine="0"/>
        <w:jc w:val="left"/>
        <w:rPr>
          <w:sz w:val="20"/>
          <w:szCs w:val="20"/>
        </w:rPr>
      </w:pPr>
      <w:r w:rsidRPr="00C63BEF">
        <w:rPr>
          <w:sz w:val="20"/>
          <w:szCs w:val="20"/>
        </w:rPr>
        <w:t xml:space="preserve">   </w:t>
      </w:r>
    </w:p>
    <w:p w14:paraId="3AA45CE5" w14:textId="77777777" w:rsidR="00C83A17" w:rsidRDefault="00C83A17" w:rsidP="00C83A17">
      <w:pPr>
        <w:spacing w:after="0" w:line="259" w:lineRule="auto"/>
        <w:ind w:right="0"/>
        <w:jc w:val="left"/>
      </w:pPr>
      <w:r>
        <w:rPr>
          <w:b/>
        </w:rPr>
        <w:t>Management reports:</w:t>
      </w:r>
      <w:r>
        <w:t xml:space="preserve">  </w:t>
      </w:r>
    </w:p>
    <w:p w14:paraId="4E8C8233" w14:textId="77777777" w:rsidR="00C83A17" w:rsidRDefault="00C83A17" w:rsidP="00C83A17">
      <w:pPr>
        <w:numPr>
          <w:ilvl w:val="0"/>
          <w:numId w:val="4"/>
        </w:numPr>
        <w:spacing w:after="0"/>
        <w:ind w:right="28" w:hanging="360"/>
      </w:pPr>
      <w:r>
        <w:t xml:space="preserve">AM Detail Report – In Service Report  </w:t>
      </w:r>
    </w:p>
    <w:p w14:paraId="7F6BC387" w14:textId="77777777" w:rsidR="00C83A17" w:rsidRDefault="00C83A17" w:rsidP="00C83A17">
      <w:pPr>
        <w:numPr>
          <w:ilvl w:val="0"/>
          <w:numId w:val="4"/>
        </w:numPr>
        <w:spacing w:after="0"/>
        <w:ind w:right="28" w:hanging="360"/>
      </w:pPr>
      <w:r>
        <w:t xml:space="preserve">AM Transaction Detail Reports (Acquisition, Adjustment, Transfers, and Disposals)  </w:t>
      </w:r>
    </w:p>
    <w:p w14:paraId="64390C8D" w14:textId="77777777" w:rsidR="00C83A17" w:rsidRDefault="00C83A17" w:rsidP="00C83A17">
      <w:pPr>
        <w:numPr>
          <w:ilvl w:val="0"/>
          <w:numId w:val="4"/>
        </w:numPr>
        <w:spacing w:after="0"/>
        <w:ind w:right="28" w:hanging="360"/>
      </w:pPr>
      <w:r>
        <w:t xml:space="preserve">AM Summary Report  </w:t>
      </w:r>
    </w:p>
    <w:p w14:paraId="4438D385" w14:textId="77777777" w:rsidR="00C83A17" w:rsidRPr="00C63BEF" w:rsidRDefault="00C83A17" w:rsidP="00C83A17">
      <w:pPr>
        <w:spacing w:after="0" w:line="259" w:lineRule="auto"/>
        <w:ind w:left="0" w:right="0" w:firstLine="0"/>
        <w:jc w:val="left"/>
        <w:rPr>
          <w:sz w:val="20"/>
          <w:szCs w:val="20"/>
        </w:rPr>
      </w:pPr>
      <w:r w:rsidRPr="00C63BEF">
        <w:rPr>
          <w:sz w:val="20"/>
          <w:szCs w:val="20"/>
        </w:rPr>
        <w:t xml:space="preserve">   </w:t>
      </w:r>
    </w:p>
    <w:p w14:paraId="53176976" w14:textId="77777777" w:rsidR="00C83A17" w:rsidRDefault="00C83A17" w:rsidP="00C83A17">
      <w:pPr>
        <w:spacing w:after="0" w:line="259" w:lineRule="auto"/>
        <w:ind w:right="0"/>
        <w:jc w:val="left"/>
      </w:pPr>
      <w:r>
        <w:rPr>
          <w:b/>
        </w:rPr>
        <w:t>Operational reports:</w:t>
      </w:r>
      <w:r>
        <w:t xml:space="preserve">  </w:t>
      </w:r>
    </w:p>
    <w:p w14:paraId="4435AD08" w14:textId="77777777" w:rsidR="00C83A17" w:rsidRDefault="00C83A17" w:rsidP="00C83A17">
      <w:pPr>
        <w:numPr>
          <w:ilvl w:val="0"/>
          <w:numId w:val="5"/>
        </w:numPr>
        <w:spacing w:after="0"/>
        <w:ind w:right="28" w:hanging="360"/>
      </w:pPr>
      <w:r>
        <w:t xml:space="preserve">Re-categorization  </w:t>
      </w:r>
    </w:p>
    <w:p w14:paraId="5A3BEB97" w14:textId="77777777" w:rsidR="00C83A17" w:rsidRDefault="00C83A17" w:rsidP="00C83A17">
      <w:pPr>
        <w:numPr>
          <w:ilvl w:val="0"/>
          <w:numId w:val="5"/>
        </w:numPr>
        <w:spacing w:after="0"/>
        <w:ind w:right="28" w:hanging="360"/>
      </w:pPr>
      <w:r>
        <w:t xml:space="preserve">UNDSS Report  </w:t>
      </w:r>
    </w:p>
    <w:p w14:paraId="47C9D7F9" w14:textId="77777777" w:rsidR="00C83A17" w:rsidRDefault="00C83A17" w:rsidP="00C83A17">
      <w:pPr>
        <w:numPr>
          <w:ilvl w:val="0"/>
          <w:numId w:val="5"/>
        </w:numPr>
        <w:spacing w:after="0"/>
        <w:ind w:right="28" w:hanging="360"/>
      </w:pPr>
      <w:r>
        <w:t xml:space="preserve">Depreciation by Period  </w:t>
      </w:r>
    </w:p>
    <w:p w14:paraId="256F3650" w14:textId="77777777" w:rsidR="00C83A17" w:rsidRDefault="00C83A17" w:rsidP="00C83A17">
      <w:pPr>
        <w:numPr>
          <w:ilvl w:val="0"/>
          <w:numId w:val="5"/>
        </w:numPr>
        <w:spacing w:after="0"/>
        <w:ind w:right="28" w:hanging="360"/>
      </w:pPr>
      <w:r>
        <w:t xml:space="preserve">Net Book Value Report – by asset ID, BU, OU.  </w:t>
      </w:r>
    </w:p>
    <w:p w14:paraId="36836026" w14:textId="77777777" w:rsidR="00C83A17" w:rsidRDefault="00C83A17" w:rsidP="00C83A17">
      <w:pPr>
        <w:numPr>
          <w:ilvl w:val="0"/>
          <w:numId w:val="5"/>
        </w:numPr>
        <w:spacing w:after="0"/>
        <w:ind w:right="28" w:hanging="360"/>
      </w:pPr>
      <w:r>
        <w:t xml:space="preserve">Asset Reclassifications  </w:t>
      </w:r>
    </w:p>
    <w:p w14:paraId="690C5769" w14:textId="77777777" w:rsidR="00C83A17" w:rsidRPr="00C63BEF" w:rsidRDefault="00C83A17" w:rsidP="00C83A17">
      <w:pPr>
        <w:spacing w:after="0" w:line="259" w:lineRule="auto"/>
        <w:ind w:left="0" w:right="0" w:firstLine="0"/>
        <w:jc w:val="left"/>
        <w:rPr>
          <w:sz w:val="20"/>
          <w:szCs w:val="20"/>
        </w:rPr>
      </w:pPr>
      <w:r w:rsidRPr="00C63BEF">
        <w:rPr>
          <w:sz w:val="20"/>
          <w:szCs w:val="20"/>
        </w:rPr>
        <w:t xml:space="preserve">  </w:t>
      </w:r>
    </w:p>
    <w:p w14:paraId="19824D89" w14:textId="77777777" w:rsidR="00C83A17" w:rsidRDefault="00C83A17" w:rsidP="00C83A17">
      <w:pPr>
        <w:spacing w:after="0" w:line="259" w:lineRule="auto"/>
        <w:ind w:left="10" w:right="0"/>
        <w:jc w:val="left"/>
      </w:pPr>
      <w:r>
        <w:rPr>
          <w:b/>
        </w:rPr>
        <w:t>Centralized Functions</w:t>
      </w:r>
      <w:r>
        <w:t xml:space="preserve">  </w:t>
      </w:r>
    </w:p>
    <w:p w14:paraId="36E533F2" w14:textId="77777777" w:rsidR="00C83A17" w:rsidRPr="00C63BEF" w:rsidRDefault="00C83A17" w:rsidP="00C83A17">
      <w:pPr>
        <w:spacing w:after="0" w:line="259" w:lineRule="auto"/>
        <w:ind w:left="360" w:right="0" w:firstLine="0"/>
        <w:jc w:val="left"/>
        <w:rPr>
          <w:sz w:val="20"/>
          <w:szCs w:val="20"/>
        </w:rPr>
      </w:pPr>
      <w:r w:rsidRPr="00C63BEF">
        <w:rPr>
          <w:sz w:val="20"/>
          <w:szCs w:val="20"/>
        </w:rPr>
        <w:t xml:space="preserve">   </w:t>
      </w:r>
    </w:p>
    <w:p w14:paraId="1206A714" w14:textId="1B3BD67D" w:rsidR="00C83A17" w:rsidRDefault="00C83A17" w:rsidP="00C83A17">
      <w:pPr>
        <w:spacing w:after="0"/>
        <w:ind w:left="370" w:right="28"/>
      </w:pPr>
      <w:r>
        <w:t xml:space="preserve">The following functions will be carried out by </w:t>
      </w:r>
      <w:r w:rsidR="0012136B">
        <w:t>GSSC</w:t>
      </w:r>
      <w:r>
        <w:t xml:space="preserve"> and General Operations/BMS:  </w:t>
      </w:r>
    </w:p>
    <w:p w14:paraId="24446DC7" w14:textId="77777777" w:rsidR="00C83A17" w:rsidRPr="00C63BEF" w:rsidRDefault="00C83A17" w:rsidP="00C83A17">
      <w:pPr>
        <w:spacing w:after="0" w:line="259" w:lineRule="auto"/>
        <w:ind w:left="360" w:right="0" w:firstLine="0"/>
        <w:jc w:val="left"/>
        <w:rPr>
          <w:sz w:val="20"/>
          <w:szCs w:val="20"/>
        </w:rPr>
      </w:pPr>
      <w:r w:rsidRPr="00C63BEF">
        <w:rPr>
          <w:sz w:val="20"/>
          <w:szCs w:val="20"/>
        </w:rPr>
        <w:t xml:space="preserve">   </w:t>
      </w:r>
    </w:p>
    <w:p w14:paraId="70343804" w14:textId="5956ED17" w:rsidR="00C83A17" w:rsidRDefault="00C83A17" w:rsidP="00C83A17">
      <w:pPr>
        <w:pStyle w:val="Heading1"/>
        <w:spacing w:after="0"/>
        <w:ind w:left="341"/>
      </w:pPr>
      <w:r>
        <w:t xml:space="preserve">Global Shared Service </w:t>
      </w:r>
      <w:r w:rsidR="00332DC8">
        <w:t xml:space="preserve">Centre </w:t>
      </w:r>
      <w:r>
        <w:t>(</w:t>
      </w:r>
      <w:r w:rsidR="0012136B">
        <w:t>GSSC</w:t>
      </w:r>
      <w:r>
        <w:t>)</w:t>
      </w:r>
      <w:r>
        <w:rPr>
          <w:b w:val="0"/>
        </w:rPr>
        <w:t xml:space="preserve"> </w:t>
      </w:r>
      <w:r>
        <w:t xml:space="preserve"> </w:t>
      </w:r>
    </w:p>
    <w:p w14:paraId="1E55F1A8" w14:textId="77777777" w:rsidR="00C83A17" w:rsidRPr="00C63BEF" w:rsidRDefault="00C83A17" w:rsidP="00C83A17"/>
    <w:p w14:paraId="2F1331A7" w14:textId="78117169" w:rsidR="00C83A17" w:rsidRDefault="00C83A17" w:rsidP="003111D5">
      <w:pPr>
        <w:numPr>
          <w:ilvl w:val="0"/>
          <w:numId w:val="6"/>
        </w:numPr>
        <w:spacing w:after="0"/>
        <w:ind w:right="28" w:hanging="360"/>
      </w:pPr>
      <w:r>
        <w:t xml:space="preserve">Process all Asset Management transactions and corresponding GLJEs relating to basic add, disposals, asset transfers and asset impairment  </w:t>
      </w:r>
    </w:p>
    <w:p w14:paraId="0E649DC7" w14:textId="77777777" w:rsidR="00C83A17" w:rsidRDefault="00C83A17" w:rsidP="00C83A17">
      <w:pPr>
        <w:numPr>
          <w:ilvl w:val="0"/>
          <w:numId w:val="6"/>
        </w:numPr>
        <w:spacing w:after="0"/>
        <w:ind w:right="28" w:hanging="360"/>
      </w:pPr>
      <w:r>
        <w:t xml:space="preserve">Update status to in—service for assets that were put into service that had been FOB,  </w:t>
      </w:r>
    </w:p>
    <w:p w14:paraId="4505810F" w14:textId="77777777" w:rsidR="00C83A17" w:rsidRDefault="00C83A17" w:rsidP="00C83A17">
      <w:pPr>
        <w:spacing w:after="0"/>
        <w:ind w:left="1810" w:right="28"/>
      </w:pPr>
      <w:r>
        <w:t xml:space="preserve">CFR, CIS, or awaiting allocation  </w:t>
      </w:r>
    </w:p>
    <w:p w14:paraId="7F34E4E7" w14:textId="77777777" w:rsidR="00C83A17" w:rsidRDefault="00C83A17" w:rsidP="00C83A17">
      <w:pPr>
        <w:numPr>
          <w:ilvl w:val="0"/>
          <w:numId w:val="6"/>
        </w:numPr>
        <w:spacing w:after="0"/>
        <w:ind w:right="28" w:hanging="360"/>
      </w:pPr>
      <w:r>
        <w:t xml:space="preserve">Capitalize UNDSS assets shipped directly to the CO by UNDSS  </w:t>
      </w:r>
    </w:p>
    <w:p w14:paraId="2B3E648F" w14:textId="77777777" w:rsidR="00C83A17" w:rsidRDefault="00C83A17" w:rsidP="00C83A17">
      <w:pPr>
        <w:numPr>
          <w:ilvl w:val="0"/>
          <w:numId w:val="6"/>
        </w:numPr>
        <w:spacing w:after="0"/>
        <w:ind w:right="28" w:hanging="360"/>
      </w:pPr>
      <w:r>
        <w:t xml:space="preserve">Recording of UNDP share of common assets through CSA  </w:t>
      </w:r>
    </w:p>
    <w:p w14:paraId="13A4987F" w14:textId="77777777" w:rsidR="00C83A17" w:rsidRDefault="00C83A17" w:rsidP="00C83A17">
      <w:pPr>
        <w:numPr>
          <w:ilvl w:val="0"/>
          <w:numId w:val="6"/>
        </w:numPr>
        <w:spacing w:after="0"/>
        <w:ind w:right="28" w:hanging="360"/>
      </w:pPr>
      <w:r>
        <w:t xml:space="preserve">Review and classify Leases and record identified Finance Leases.  </w:t>
      </w:r>
    </w:p>
    <w:p w14:paraId="2C7AEBBF" w14:textId="77777777" w:rsidR="00C83A17" w:rsidRDefault="00C83A17" w:rsidP="00C83A17">
      <w:pPr>
        <w:numPr>
          <w:ilvl w:val="0"/>
          <w:numId w:val="6"/>
        </w:numPr>
        <w:spacing w:after="0"/>
        <w:ind w:right="28" w:hanging="360"/>
      </w:pPr>
      <w:r>
        <w:t xml:space="preserve">Support the Country Offices in implementation of key IPSAS related processes that pose an audit risks.  </w:t>
      </w:r>
    </w:p>
    <w:p w14:paraId="02B2CD4A" w14:textId="77777777" w:rsidR="00C83A17" w:rsidRDefault="00C83A17" w:rsidP="00C83A17">
      <w:pPr>
        <w:numPr>
          <w:ilvl w:val="0"/>
          <w:numId w:val="6"/>
        </w:numPr>
        <w:spacing w:after="0"/>
        <w:ind w:right="28" w:hanging="360"/>
      </w:pPr>
      <w:r>
        <w:t xml:space="preserve">Review and process exceptional requests such as cost adjustment and asset recategorization  </w:t>
      </w:r>
    </w:p>
    <w:p w14:paraId="207A4DA0" w14:textId="76D283D6" w:rsidR="00C83A17" w:rsidRDefault="00C83A17" w:rsidP="00C83A17">
      <w:pPr>
        <w:numPr>
          <w:ilvl w:val="0"/>
          <w:numId w:val="6"/>
        </w:numPr>
        <w:spacing w:after="0"/>
        <w:ind w:right="28" w:hanging="360"/>
      </w:pPr>
      <w:r>
        <w:t xml:space="preserve">At time of capitalization and or transfer </w:t>
      </w:r>
      <w:r w:rsidR="0012136B">
        <w:t>GSSC</w:t>
      </w:r>
      <w:r>
        <w:t xml:space="preserve"> will review the chart of account combinations to ensure assets are recorded against valid chart fields.  </w:t>
      </w:r>
    </w:p>
    <w:p w14:paraId="0F00C062" w14:textId="77777777" w:rsidR="00C83A17" w:rsidRDefault="00C83A17" w:rsidP="00C83A17">
      <w:pPr>
        <w:numPr>
          <w:ilvl w:val="0"/>
          <w:numId w:val="6"/>
        </w:numPr>
        <w:spacing w:after="0"/>
        <w:ind w:right="28" w:hanging="360"/>
      </w:pPr>
      <w:r>
        <w:t xml:space="preserve">Process requests for change COA of assets and create adjusting GLJEs   </w:t>
      </w:r>
    </w:p>
    <w:p w14:paraId="2AE11E22" w14:textId="0518ABF2" w:rsidR="00C83A17" w:rsidRDefault="00C83A17" w:rsidP="00C83A17">
      <w:pPr>
        <w:numPr>
          <w:ilvl w:val="0"/>
          <w:numId w:val="6"/>
        </w:numPr>
        <w:spacing w:after="0"/>
        <w:ind w:right="28" w:hanging="360"/>
      </w:pPr>
      <w:r>
        <w:lastRenderedPageBreak/>
        <w:t xml:space="preserve">Advise General Operations/BMS and OIMT of any system limitations in processing asset management transactions in </w:t>
      </w:r>
      <w:r w:rsidR="009C0A05">
        <w:t xml:space="preserve">Quantum </w:t>
      </w:r>
      <w:r>
        <w:t xml:space="preserve">for re-configuration  </w:t>
      </w:r>
    </w:p>
    <w:p w14:paraId="194DD07A" w14:textId="4E5960AB" w:rsidR="00C83A17" w:rsidRDefault="00C83A17" w:rsidP="00C83A17">
      <w:pPr>
        <w:numPr>
          <w:ilvl w:val="0"/>
          <w:numId w:val="6"/>
        </w:numPr>
        <w:spacing w:after="0"/>
        <w:ind w:right="28" w:hanging="360"/>
      </w:pPr>
      <w:r>
        <w:t xml:space="preserve">As custodians of the </w:t>
      </w:r>
      <w:r w:rsidR="00412AC0">
        <w:t>UNall asset submissions</w:t>
      </w:r>
      <w:r>
        <w:t xml:space="preserve">, ensure that </w:t>
      </w:r>
      <w:r w:rsidR="0068719C">
        <w:t xml:space="preserve">cases are </w:t>
      </w:r>
      <w:r>
        <w:t xml:space="preserve">regularly reviewed for consistency, integrity, user friendliness and upgrade. </w:t>
      </w:r>
    </w:p>
    <w:p w14:paraId="59438ECB" w14:textId="14CEC975" w:rsidR="00C83A17" w:rsidRDefault="00C83A17" w:rsidP="00C83A17">
      <w:pPr>
        <w:numPr>
          <w:ilvl w:val="0"/>
          <w:numId w:val="6"/>
        </w:numPr>
        <w:spacing w:after="0"/>
        <w:ind w:right="28" w:hanging="360"/>
      </w:pPr>
      <w:r>
        <w:t xml:space="preserve">Communicate to business units any </w:t>
      </w:r>
      <w:r w:rsidR="0068719C">
        <w:t xml:space="preserve">UNall </w:t>
      </w:r>
      <w:r>
        <w:t xml:space="preserve">upgrades, offer trainings and webinars and ensure compliance with the </w:t>
      </w:r>
      <w:r w:rsidR="00342FA2">
        <w:t xml:space="preserve">UNall’s </w:t>
      </w:r>
      <w:r>
        <w:t xml:space="preserve">requirements as a document repository  </w:t>
      </w:r>
    </w:p>
    <w:p w14:paraId="0FC9DD9D" w14:textId="77777777" w:rsidR="00C83A17" w:rsidRDefault="00C83A17" w:rsidP="00C83A17">
      <w:pPr>
        <w:numPr>
          <w:ilvl w:val="0"/>
          <w:numId w:val="6"/>
        </w:numPr>
        <w:spacing w:after="0"/>
        <w:ind w:right="28" w:hanging="360"/>
      </w:pPr>
      <w:r>
        <w:t xml:space="preserve">Process approved asset impairment requests  </w:t>
      </w:r>
    </w:p>
    <w:p w14:paraId="4E4777AC" w14:textId="77777777" w:rsidR="00C83A17" w:rsidRDefault="00C83A17" w:rsidP="00C83A17">
      <w:pPr>
        <w:numPr>
          <w:ilvl w:val="0"/>
          <w:numId w:val="6"/>
        </w:numPr>
        <w:spacing w:after="0"/>
        <w:ind w:right="28" w:hanging="360"/>
      </w:pPr>
      <w:r>
        <w:t xml:space="preserve">Regularly review the chart of account combinations to ensure assets are recorded against valid chart fields.   </w:t>
      </w:r>
    </w:p>
    <w:p w14:paraId="26C6DEB2" w14:textId="77777777" w:rsidR="00C83A17" w:rsidRDefault="00C83A17" w:rsidP="00C83A17">
      <w:pPr>
        <w:spacing w:after="0" w:line="259" w:lineRule="auto"/>
        <w:ind w:left="0" w:right="0" w:firstLine="0"/>
        <w:jc w:val="left"/>
      </w:pPr>
      <w:r>
        <w:t xml:space="preserve">   </w:t>
      </w:r>
      <w:r>
        <w:tab/>
        <w:t xml:space="preserve">  </w:t>
      </w:r>
    </w:p>
    <w:p w14:paraId="365A2B01" w14:textId="77777777" w:rsidR="00C83A17" w:rsidRDefault="00C83A17" w:rsidP="00C83A17">
      <w:pPr>
        <w:pStyle w:val="Heading1"/>
        <w:spacing w:after="0"/>
        <w:ind w:left="341"/>
      </w:pPr>
      <w:r>
        <w:t>Headquarters</w:t>
      </w:r>
      <w:r>
        <w:rPr>
          <w:b w:val="0"/>
        </w:rPr>
        <w:t xml:space="preserve"> </w:t>
      </w:r>
      <w:r>
        <w:t xml:space="preserve"> </w:t>
      </w:r>
    </w:p>
    <w:p w14:paraId="3C30A51F" w14:textId="77777777" w:rsidR="00C83A17" w:rsidRDefault="00C83A17" w:rsidP="00C83A17">
      <w:pPr>
        <w:spacing w:after="0" w:line="259" w:lineRule="auto"/>
        <w:ind w:left="360" w:right="0" w:firstLine="0"/>
        <w:jc w:val="left"/>
      </w:pPr>
      <w:r>
        <w:t xml:space="preserve">   </w:t>
      </w:r>
    </w:p>
    <w:p w14:paraId="313B7559" w14:textId="77777777" w:rsidR="00C83A17" w:rsidRDefault="00C83A17" w:rsidP="00C83A17">
      <w:pPr>
        <w:spacing w:after="0" w:line="259" w:lineRule="auto"/>
        <w:ind w:left="1080" w:right="0" w:firstLine="0"/>
        <w:jc w:val="left"/>
      </w:pPr>
      <w:r>
        <w:rPr>
          <w:b/>
          <w:i/>
        </w:rPr>
        <w:t xml:space="preserve">General Operations/Bureau for Management Services  </w:t>
      </w:r>
      <w:r>
        <w:t xml:space="preserve">  </w:t>
      </w:r>
    </w:p>
    <w:p w14:paraId="51119E10" w14:textId="77777777" w:rsidR="00C83A17" w:rsidRDefault="00C83A17" w:rsidP="00C83A17">
      <w:pPr>
        <w:spacing w:after="0" w:line="259" w:lineRule="auto"/>
        <w:ind w:left="360" w:right="0" w:firstLine="0"/>
        <w:jc w:val="left"/>
      </w:pPr>
      <w:r>
        <w:t xml:space="preserve">  </w:t>
      </w:r>
    </w:p>
    <w:p w14:paraId="2BE9B7A3" w14:textId="77777777" w:rsidR="00C83A17" w:rsidRDefault="00C83A17" w:rsidP="00C83A17">
      <w:pPr>
        <w:pStyle w:val="Heading2"/>
        <w:spacing w:after="0"/>
        <w:ind w:left="1061"/>
      </w:pPr>
      <w:r>
        <w:t>Monitoring</w:t>
      </w:r>
      <w:r>
        <w:rPr>
          <w:i w:val="0"/>
          <w:u w:val="none"/>
        </w:rPr>
        <w:t xml:space="preserve"> </w:t>
      </w:r>
      <w:r>
        <w:rPr>
          <w:u w:val="none"/>
        </w:rPr>
        <w:t xml:space="preserve"> </w:t>
      </w:r>
    </w:p>
    <w:p w14:paraId="4036AA4D" w14:textId="77777777" w:rsidR="00C83A17" w:rsidRDefault="00C83A17" w:rsidP="00C83A17">
      <w:pPr>
        <w:numPr>
          <w:ilvl w:val="0"/>
          <w:numId w:val="7"/>
        </w:numPr>
        <w:spacing w:after="0"/>
        <w:ind w:left="1771" w:right="28" w:hanging="360"/>
      </w:pPr>
      <w:r>
        <w:t xml:space="preserve">Monitor dashboards  </w:t>
      </w:r>
    </w:p>
    <w:p w14:paraId="0C302DC2" w14:textId="5C135BA7" w:rsidR="00C83A17" w:rsidRDefault="00C83A17" w:rsidP="00C83A17">
      <w:pPr>
        <w:numPr>
          <w:ilvl w:val="0"/>
          <w:numId w:val="7"/>
        </w:numPr>
        <w:spacing w:after="0"/>
        <w:ind w:left="1771" w:right="28" w:hanging="360"/>
      </w:pPr>
      <w:r>
        <w:t xml:space="preserve">Follow up with the </w:t>
      </w:r>
      <w:r w:rsidR="0012136B">
        <w:t>GSSC</w:t>
      </w:r>
      <w:r>
        <w:t xml:space="preserve"> and Cos/HQ Units on the errors/corrections  </w:t>
      </w:r>
    </w:p>
    <w:p w14:paraId="2F582087" w14:textId="77777777" w:rsidR="00C83A17" w:rsidRDefault="00C83A17" w:rsidP="00C83A17">
      <w:pPr>
        <w:numPr>
          <w:ilvl w:val="0"/>
          <w:numId w:val="7"/>
        </w:numPr>
        <w:spacing w:after="0"/>
        <w:ind w:left="1771" w:right="28" w:hanging="360"/>
      </w:pPr>
      <w:r>
        <w:t xml:space="preserve">Inter-module reconciliation  </w:t>
      </w:r>
    </w:p>
    <w:p w14:paraId="62E4A598" w14:textId="77777777" w:rsidR="00C83A17" w:rsidRDefault="00C83A17" w:rsidP="00C83A17">
      <w:pPr>
        <w:numPr>
          <w:ilvl w:val="0"/>
          <w:numId w:val="7"/>
        </w:numPr>
        <w:spacing w:after="0"/>
        <w:ind w:left="1771" w:right="28" w:hanging="360"/>
      </w:pPr>
      <w:r>
        <w:t xml:space="preserve">Process and review accuracy of depreciation charge  </w:t>
      </w:r>
    </w:p>
    <w:p w14:paraId="78B1AE27" w14:textId="77777777" w:rsidR="00C83A17" w:rsidRDefault="00C83A17" w:rsidP="00C83A17">
      <w:pPr>
        <w:spacing w:after="0" w:line="259" w:lineRule="auto"/>
        <w:ind w:left="360" w:right="0" w:firstLine="0"/>
        <w:jc w:val="left"/>
      </w:pPr>
      <w:r>
        <w:t xml:space="preserve">   </w:t>
      </w:r>
    </w:p>
    <w:p w14:paraId="53730A9F" w14:textId="77777777" w:rsidR="00C83A17" w:rsidRDefault="00C83A17" w:rsidP="00C83A17">
      <w:pPr>
        <w:pStyle w:val="Heading2"/>
        <w:spacing w:after="0"/>
        <w:ind w:left="1061"/>
      </w:pPr>
      <w:r>
        <w:t>Guidance</w:t>
      </w:r>
      <w:r>
        <w:rPr>
          <w:u w:val="none"/>
        </w:rPr>
        <w:t xml:space="preserve">  </w:t>
      </w:r>
    </w:p>
    <w:p w14:paraId="7F6B6AB9" w14:textId="6DB000D0" w:rsidR="00C83A17" w:rsidRDefault="00C83A17" w:rsidP="00C83A17">
      <w:pPr>
        <w:numPr>
          <w:ilvl w:val="0"/>
          <w:numId w:val="8"/>
        </w:numPr>
        <w:spacing w:after="0"/>
        <w:ind w:right="28" w:hanging="360"/>
      </w:pPr>
      <w:r>
        <w:t xml:space="preserve">Provide overall policy guidance to </w:t>
      </w:r>
      <w:r w:rsidR="0012136B">
        <w:t>GSSC</w:t>
      </w:r>
      <w:r>
        <w:t xml:space="preserve"> as well as the Cos/HQ Units  </w:t>
      </w:r>
    </w:p>
    <w:p w14:paraId="56EA29CD" w14:textId="77777777" w:rsidR="00C83A17" w:rsidRDefault="00C83A17" w:rsidP="00C83A17">
      <w:pPr>
        <w:numPr>
          <w:ilvl w:val="0"/>
          <w:numId w:val="8"/>
        </w:numPr>
        <w:spacing w:after="0"/>
        <w:ind w:right="28" w:hanging="360"/>
      </w:pPr>
      <w:r>
        <w:t xml:space="preserve">Review operational issues that need to be addressed through policies  </w:t>
      </w:r>
    </w:p>
    <w:p w14:paraId="70527B35" w14:textId="77777777" w:rsidR="00C83A17" w:rsidRDefault="00C83A17" w:rsidP="00C83A17">
      <w:pPr>
        <w:spacing w:after="0" w:line="259" w:lineRule="auto"/>
        <w:ind w:left="360" w:right="0" w:firstLine="0"/>
        <w:jc w:val="left"/>
      </w:pPr>
      <w:r>
        <w:t xml:space="preserve">   </w:t>
      </w:r>
    </w:p>
    <w:p w14:paraId="274D8303" w14:textId="77777777" w:rsidR="00C83A17" w:rsidRDefault="00C83A17" w:rsidP="00C83A17">
      <w:pPr>
        <w:pStyle w:val="Heading2"/>
        <w:spacing w:after="0"/>
        <w:ind w:left="1061"/>
      </w:pPr>
      <w:r>
        <w:t>Transactions</w:t>
      </w:r>
      <w:r>
        <w:rPr>
          <w:u w:val="none"/>
        </w:rPr>
        <w:t xml:space="preserve">  </w:t>
      </w:r>
    </w:p>
    <w:p w14:paraId="63A7CD26" w14:textId="77777777" w:rsidR="00C83A17" w:rsidRDefault="00C83A17" w:rsidP="00C83A17">
      <w:pPr>
        <w:numPr>
          <w:ilvl w:val="0"/>
          <w:numId w:val="9"/>
        </w:numPr>
        <w:spacing w:after="0"/>
        <w:ind w:right="28" w:hanging="360"/>
      </w:pPr>
      <w:r>
        <w:t xml:space="preserve">Review/approve write-off request  </w:t>
      </w:r>
    </w:p>
    <w:p w14:paraId="37761A73" w14:textId="77777777" w:rsidR="00C83A17" w:rsidRDefault="00C83A17" w:rsidP="00C83A17">
      <w:pPr>
        <w:numPr>
          <w:ilvl w:val="0"/>
          <w:numId w:val="9"/>
        </w:numPr>
        <w:spacing w:after="0"/>
        <w:ind w:right="28" w:hanging="360"/>
      </w:pPr>
      <w:r>
        <w:t xml:space="preserve">Regularly review Asset Registers &amp; Dashboard for exceptional items under disposals    </w:t>
      </w:r>
    </w:p>
    <w:p w14:paraId="48E179FB" w14:textId="141C2207" w:rsidR="00C83A17" w:rsidRDefault="00C83A17" w:rsidP="00C83A17">
      <w:pPr>
        <w:numPr>
          <w:ilvl w:val="0"/>
          <w:numId w:val="9"/>
        </w:numPr>
        <w:spacing w:after="0"/>
        <w:ind w:right="28" w:hanging="360"/>
      </w:pPr>
      <w:r>
        <w:t xml:space="preserve">Develop training packages for use by </w:t>
      </w:r>
      <w:r w:rsidR="0012136B">
        <w:t>GSSC</w:t>
      </w:r>
      <w:r>
        <w:t xml:space="preserve">  </w:t>
      </w:r>
    </w:p>
    <w:p w14:paraId="0D11619C" w14:textId="77777777" w:rsidR="00C83A17" w:rsidRDefault="00C83A17" w:rsidP="00C83A17">
      <w:pPr>
        <w:numPr>
          <w:ilvl w:val="0"/>
          <w:numId w:val="9"/>
        </w:numPr>
        <w:spacing w:after="0"/>
        <w:ind w:right="28" w:hanging="360"/>
      </w:pPr>
      <w:r>
        <w:t xml:space="preserve">Review depreciation via dashboards  </w:t>
      </w:r>
    </w:p>
    <w:p w14:paraId="6EDA65D3" w14:textId="77777777" w:rsidR="00C83A17" w:rsidRDefault="00C83A17" w:rsidP="00C83A17">
      <w:pPr>
        <w:numPr>
          <w:ilvl w:val="0"/>
          <w:numId w:val="9"/>
        </w:numPr>
        <w:spacing w:after="0"/>
        <w:ind w:right="28" w:hanging="360"/>
      </w:pPr>
      <w:r>
        <w:t xml:space="preserve">Reconciliation of the AM module  </w:t>
      </w:r>
    </w:p>
    <w:p w14:paraId="4B814CC8" w14:textId="77777777" w:rsidR="00C83A17" w:rsidRDefault="00C83A17" w:rsidP="00C83A17">
      <w:pPr>
        <w:spacing w:after="0" w:line="259" w:lineRule="auto"/>
        <w:ind w:left="1061" w:right="0"/>
        <w:jc w:val="left"/>
      </w:pPr>
      <w:r>
        <w:rPr>
          <w:i/>
          <w:u w:val="single" w:color="000000"/>
        </w:rPr>
        <w:t>Reporting</w:t>
      </w:r>
      <w:r>
        <w:rPr>
          <w:i/>
        </w:rPr>
        <w:t xml:space="preserve"> </w:t>
      </w:r>
      <w:r>
        <w:t xml:space="preserve"> </w:t>
      </w:r>
    </w:p>
    <w:p w14:paraId="3A6B7BAF" w14:textId="77777777" w:rsidR="00C83A17" w:rsidRDefault="00C83A17" w:rsidP="00C83A17">
      <w:pPr>
        <w:spacing w:after="0"/>
        <w:ind w:left="1421" w:right="28"/>
      </w:pPr>
      <w:r>
        <w:t>a)</w:t>
      </w:r>
      <w:r>
        <w:rPr>
          <w:rFonts w:ascii="Arial" w:eastAsia="Arial" w:hAnsi="Arial" w:cs="Arial"/>
        </w:rPr>
        <w:t xml:space="preserve"> </w:t>
      </w:r>
      <w:r>
        <w:t xml:space="preserve">Develop reports to be used by offices and HQ for monitoring and operational purposes.  </w:t>
      </w:r>
    </w:p>
    <w:p w14:paraId="4874B90C" w14:textId="77777777" w:rsidR="00C83A17" w:rsidRDefault="00C83A17" w:rsidP="00C83A17">
      <w:pPr>
        <w:spacing w:after="0" w:line="259" w:lineRule="auto"/>
        <w:ind w:left="360" w:right="0" w:firstLine="0"/>
        <w:jc w:val="left"/>
      </w:pPr>
      <w:r>
        <w:rPr>
          <w:b/>
        </w:rPr>
        <w:t xml:space="preserve"> </w:t>
      </w:r>
      <w:r>
        <w:t xml:space="preserve">  </w:t>
      </w:r>
    </w:p>
    <w:p w14:paraId="40EBDE58" w14:textId="77777777" w:rsidR="00C83A17" w:rsidRDefault="00C83A17" w:rsidP="00C83A17">
      <w:pPr>
        <w:pStyle w:val="Heading2"/>
        <w:spacing w:after="0"/>
        <w:ind w:left="1061"/>
      </w:pPr>
      <w:r>
        <w:t>Accounts</w:t>
      </w:r>
      <w:r>
        <w:rPr>
          <w:u w:val="none"/>
        </w:rPr>
        <w:t xml:space="preserve">   </w:t>
      </w:r>
    </w:p>
    <w:p w14:paraId="33BDBFC5" w14:textId="77777777" w:rsidR="00C83A17" w:rsidRDefault="00C83A17" w:rsidP="00C83A17">
      <w:pPr>
        <w:numPr>
          <w:ilvl w:val="0"/>
          <w:numId w:val="10"/>
        </w:numPr>
        <w:spacing w:after="0"/>
        <w:ind w:right="28" w:hanging="360"/>
      </w:pPr>
      <w:r>
        <w:t xml:space="preserve">Make adjusting entries at the GL level  </w:t>
      </w:r>
    </w:p>
    <w:p w14:paraId="1172AE54" w14:textId="77777777" w:rsidR="00C83A17" w:rsidRDefault="00C83A17" w:rsidP="00C83A17">
      <w:pPr>
        <w:numPr>
          <w:ilvl w:val="0"/>
          <w:numId w:val="10"/>
        </w:numPr>
        <w:spacing w:after="0"/>
        <w:ind w:right="28" w:hanging="360"/>
      </w:pPr>
      <w:r>
        <w:t xml:space="preserve">Review depreciation at the GL level  </w:t>
      </w:r>
    </w:p>
    <w:p w14:paraId="7796841C" w14:textId="77777777" w:rsidR="00C83A17" w:rsidRDefault="00C83A17" w:rsidP="00C83A17">
      <w:pPr>
        <w:numPr>
          <w:ilvl w:val="0"/>
          <w:numId w:val="10"/>
        </w:numPr>
        <w:spacing w:after="0"/>
        <w:ind w:right="28" w:hanging="360"/>
      </w:pPr>
      <w:r>
        <w:t xml:space="preserve">Presentation of financial information on assets in the financial statements and appropriate disclosures  </w:t>
      </w:r>
    </w:p>
    <w:p w14:paraId="64571DD5" w14:textId="77777777" w:rsidR="00C83A17" w:rsidRDefault="00C83A17" w:rsidP="00C83A17">
      <w:pPr>
        <w:spacing w:after="0" w:line="259" w:lineRule="auto"/>
        <w:ind w:left="360" w:right="0" w:firstLine="0"/>
        <w:jc w:val="left"/>
      </w:pPr>
      <w:r>
        <w:t xml:space="preserve">   </w:t>
      </w:r>
    </w:p>
    <w:p w14:paraId="7D20515D" w14:textId="77777777" w:rsidR="00C83A17" w:rsidRDefault="00C83A17" w:rsidP="00C83A17">
      <w:pPr>
        <w:pStyle w:val="Heading2"/>
        <w:spacing w:after="0"/>
        <w:ind w:left="1061"/>
      </w:pPr>
      <w:r>
        <w:t>OIMT</w:t>
      </w:r>
      <w:r>
        <w:rPr>
          <w:i w:val="0"/>
          <w:u w:val="none"/>
        </w:rPr>
        <w:t xml:space="preserve">  </w:t>
      </w:r>
      <w:r>
        <w:rPr>
          <w:u w:val="none"/>
        </w:rPr>
        <w:t xml:space="preserve"> </w:t>
      </w:r>
    </w:p>
    <w:p w14:paraId="5BDE4695" w14:textId="77777777" w:rsidR="00C83A17" w:rsidRDefault="00C83A17" w:rsidP="00C83A17">
      <w:pPr>
        <w:numPr>
          <w:ilvl w:val="0"/>
          <w:numId w:val="11"/>
        </w:numPr>
        <w:spacing w:after="0"/>
        <w:ind w:right="28" w:hanging="360"/>
      </w:pPr>
      <w:r>
        <w:t xml:space="preserve">Run monthly depreciation, accounting entries generation and posting processes  </w:t>
      </w:r>
    </w:p>
    <w:p w14:paraId="7946AE3F" w14:textId="77777777" w:rsidR="00C83A17" w:rsidRDefault="00C83A17" w:rsidP="00C83A17">
      <w:pPr>
        <w:numPr>
          <w:ilvl w:val="0"/>
          <w:numId w:val="11"/>
        </w:numPr>
        <w:spacing w:after="0"/>
        <w:ind w:right="28" w:hanging="360"/>
      </w:pPr>
      <w:r>
        <w:t xml:space="preserve">Interface Assets from AP to AM  </w:t>
      </w:r>
    </w:p>
    <w:p w14:paraId="2797AB36" w14:textId="77777777" w:rsidR="00C83A17" w:rsidRDefault="00C83A17" w:rsidP="00C83A17">
      <w:pPr>
        <w:numPr>
          <w:ilvl w:val="0"/>
          <w:numId w:val="11"/>
        </w:numPr>
        <w:spacing w:after="0"/>
        <w:ind w:right="28" w:hanging="360"/>
      </w:pPr>
      <w:r>
        <w:lastRenderedPageBreak/>
        <w:t xml:space="preserve">Develop reports  </w:t>
      </w:r>
    </w:p>
    <w:p w14:paraId="00900812" w14:textId="77777777" w:rsidR="00C83A17" w:rsidRDefault="00C83A17" w:rsidP="00C83A17">
      <w:pPr>
        <w:numPr>
          <w:ilvl w:val="0"/>
          <w:numId w:val="11"/>
        </w:numPr>
        <w:spacing w:after="0"/>
        <w:ind w:right="28" w:hanging="360"/>
      </w:pPr>
      <w:r>
        <w:t xml:space="preserve">Process system change requests  </w:t>
      </w:r>
    </w:p>
    <w:p w14:paraId="309238A9" w14:textId="77777777" w:rsidR="00C83A17" w:rsidRDefault="00C83A17" w:rsidP="00C83A17">
      <w:pPr>
        <w:spacing w:after="0" w:line="259" w:lineRule="auto"/>
        <w:ind w:left="360" w:right="0" w:firstLine="0"/>
        <w:jc w:val="left"/>
      </w:pPr>
      <w:r>
        <w:t xml:space="preserve">   </w:t>
      </w:r>
    </w:p>
    <w:p w14:paraId="762384A5" w14:textId="2EE656C5" w:rsidR="00F031EF" w:rsidRPr="00C83A17" w:rsidRDefault="00F031EF" w:rsidP="00C83A17"/>
    <w:sectPr w:rsidR="00F031EF" w:rsidRPr="00C83A17">
      <w:headerReference w:type="even" r:id="rId14"/>
      <w:headerReference w:type="default" r:id="rId15"/>
      <w:footerReference w:type="even" r:id="rId16"/>
      <w:footerReference w:type="default" r:id="rId17"/>
      <w:headerReference w:type="first" r:id="rId18"/>
      <w:footerReference w:type="first" r:id="rId19"/>
      <w:pgSz w:w="12240" w:h="15840"/>
      <w:pgMar w:top="1427" w:right="1390" w:bottom="1692" w:left="108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5A5" w14:textId="77777777" w:rsidR="0077074D" w:rsidRDefault="0077074D">
      <w:pPr>
        <w:spacing w:after="0" w:line="240" w:lineRule="auto"/>
      </w:pPr>
      <w:r>
        <w:separator/>
      </w:r>
    </w:p>
  </w:endnote>
  <w:endnote w:type="continuationSeparator" w:id="0">
    <w:p w14:paraId="3FDA68E6" w14:textId="77777777" w:rsidR="0077074D" w:rsidRDefault="0077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84AC" w14:textId="77777777" w:rsidR="00F031EF" w:rsidRDefault="0044621A">
    <w:pPr>
      <w:spacing w:after="0" w:line="259" w:lineRule="auto"/>
      <w:ind w:left="314" w:right="0" w:firstLine="0"/>
      <w:jc w:val="center"/>
    </w:pPr>
    <w:r>
      <w:fldChar w:fldCharType="begin"/>
    </w:r>
    <w:r>
      <w:instrText xml:space="preserve"> PAGE   \* MERGEFORMAT </w:instrText>
    </w:r>
    <w:r>
      <w:fldChar w:fldCharType="separate"/>
    </w:r>
    <w:r>
      <w:t>1</w:t>
    </w:r>
    <w:r>
      <w:fldChar w:fldCharType="end"/>
    </w:r>
    <w:r>
      <w:t xml:space="preserve">  </w:t>
    </w:r>
  </w:p>
  <w:p w14:paraId="762384AD" w14:textId="77777777" w:rsidR="00F031EF" w:rsidRDefault="0044621A">
    <w:pPr>
      <w:spacing w:after="0" w:line="259" w:lineRule="auto"/>
      <w:ind w:left="36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84AE" w14:textId="7D800F5E" w:rsidR="00F031EF" w:rsidRDefault="00810EDB">
    <w:pPr>
      <w:spacing w:after="0" w:line="259" w:lineRule="auto"/>
      <w:ind w:left="360" w:right="0" w:firstLine="0"/>
      <w:jc w:val="left"/>
    </w:pPr>
    <w:r>
      <w:t xml:space="preserve">Page </w:t>
    </w:r>
    <w:r>
      <w:rPr>
        <w:b/>
      </w:rPr>
      <w:fldChar w:fldCharType="begin"/>
    </w:r>
    <w:r>
      <w:rPr>
        <w:b/>
      </w:rPr>
      <w:instrText xml:space="preserve"> PAGE  \* Arabic  \* MERGEFORMAT </w:instrText>
    </w:r>
    <w:r>
      <w:rPr>
        <w:b/>
      </w:rPr>
      <w:fldChar w:fldCharType="separate"/>
    </w:r>
    <w:r w:rsidR="007F4BD7">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7F4BD7">
      <w:rPr>
        <w:b/>
        <w:noProof/>
      </w:rPr>
      <w:t>9</w:t>
    </w:r>
    <w:r>
      <w:rPr>
        <w:b/>
      </w:rPr>
      <w:fldChar w:fldCharType="end"/>
    </w:r>
    <w:r>
      <w:ptab w:relativeTo="margin" w:alignment="center" w:leader="none"/>
    </w:r>
    <w:r w:rsidRPr="00810EDB">
      <w:t>Effective Date:</w:t>
    </w:r>
    <w:r>
      <w:t xml:space="preserve"> </w:t>
    </w:r>
    <w:r w:rsidR="00866816" w:rsidRPr="00866816">
      <w:t>25/07/2016</w:t>
    </w:r>
    <w:r w:rsidR="00866816" w:rsidRPr="00866816">
      <w:t xml:space="preserve"> </w:t>
    </w:r>
    <w:r>
      <w:ptab w:relativeTo="margin" w:alignment="right" w:leader="none"/>
    </w:r>
    <w:r w:rsidRPr="00810EDB">
      <w:t>Version #:</w:t>
    </w:r>
    <w:r>
      <w:t xml:space="preserve"> </w:t>
    </w:r>
    <w:sdt>
      <w:sdtPr>
        <w:alias w:val="POPPRefItemVersion"/>
        <w:tag w:val="UNDP_POPP_REFITEM_VERSION"/>
        <w:id w:val="-2106250510"/>
        <w:placeholder>
          <w:docPart w:val="547F8D69D84B48D2B2188DCA03C914E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C46C37-79EE-4343-BE20-CFC7ABD0BB5F}"/>
        <w:text/>
      </w:sdtPr>
      <w:sdtContent>
        <w:r w:rsidR="00C23299">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84AF" w14:textId="77777777" w:rsidR="00F031EF" w:rsidRDefault="0044621A">
    <w:pPr>
      <w:spacing w:after="0" w:line="259" w:lineRule="auto"/>
      <w:ind w:left="314" w:right="0" w:firstLine="0"/>
      <w:jc w:val="center"/>
    </w:pPr>
    <w:r>
      <w:fldChar w:fldCharType="begin"/>
    </w:r>
    <w:r>
      <w:instrText xml:space="preserve"> PAGE   \* MERGEFORMAT </w:instrText>
    </w:r>
    <w:r>
      <w:fldChar w:fldCharType="separate"/>
    </w:r>
    <w:r>
      <w:t>1</w:t>
    </w:r>
    <w:r>
      <w:fldChar w:fldCharType="end"/>
    </w:r>
    <w:r>
      <w:t xml:space="preserve">  </w:t>
    </w:r>
  </w:p>
  <w:p w14:paraId="762384B0" w14:textId="77777777" w:rsidR="00F031EF" w:rsidRDefault="0044621A">
    <w:pPr>
      <w:spacing w:after="0" w:line="259" w:lineRule="auto"/>
      <w:ind w:left="36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605F" w14:textId="77777777" w:rsidR="0077074D" w:rsidRDefault="0077074D">
      <w:pPr>
        <w:spacing w:after="0" w:line="240" w:lineRule="auto"/>
      </w:pPr>
      <w:r>
        <w:separator/>
      </w:r>
    </w:p>
  </w:footnote>
  <w:footnote w:type="continuationSeparator" w:id="0">
    <w:p w14:paraId="003A046D" w14:textId="77777777" w:rsidR="0077074D" w:rsidRDefault="0077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5EE6" w14:textId="77777777" w:rsidR="000A46B8" w:rsidRDefault="000A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84AA" w14:textId="77777777" w:rsidR="00810EDB" w:rsidRDefault="00810EDB" w:rsidP="00810EDB">
    <w:pPr>
      <w:pStyle w:val="Header"/>
      <w:jc w:val="right"/>
    </w:pPr>
    <w:r>
      <w:rPr>
        <w:noProof/>
        <w:lang w:val="en-US" w:eastAsia="en-US"/>
      </w:rPr>
      <w:drawing>
        <wp:inline distT="0" distB="0" distL="0" distR="0" wp14:anchorId="762384B1" wp14:editId="2D11AF52">
          <wp:extent cx="304800" cy="600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634"/>
                  <a:stretch/>
                </pic:blipFill>
                <pic:spPr bwMode="auto">
                  <a:xfrm>
                    <a:off x="0" y="0"/>
                    <a:ext cx="309373" cy="609078"/>
                  </a:xfrm>
                  <a:prstGeom prst="rect">
                    <a:avLst/>
                  </a:prstGeom>
                  <a:ln>
                    <a:noFill/>
                  </a:ln>
                  <a:extLst>
                    <a:ext uri="{53640926-AAD7-44D8-BBD7-CCE9431645EC}">
                      <a14:shadowObscured xmlns:a14="http://schemas.microsoft.com/office/drawing/2010/main"/>
                    </a:ext>
                  </a:extLst>
                </pic:spPr>
              </pic:pic>
            </a:graphicData>
          </a:graphic>
        </wp:inline>
      </w:drawing>
    </w:r>
  </w:p>
  <w:p w14:paraId="762384AB" w14:textId="77777777" w:rsidR="00810EDB" w:rsidRDefault="00810EDB" w:rsidP="00810E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74A" w14:textId="77777777" w:rsidR="000A46B8" w:rsidRDefault="000A4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855"/>
    <w:multiLevelType w:val="hybridMultilevel"/>
    <w:tmpl w:val="B9405D8E"/>
    <w:lvl w:ilvl="0" w:tplc="ABBA9A32">
      <w:start w:val="1"/>
      <w:numFmt w:val="bullet"/>
      <w:lvlText w:val=""/>
      <w:lvlJc w:val="left"/>
      <w:pPr>
        <w:ind w:left="14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3C34"/>
    <w:multiLevelType w:val="hybridMultilevel"/>
    <w:tmpl w:val="BF86FC68"/>
    <w:lvl w:ilvl="0" w:tplc="BB264722">
      <w:start w:val="1"/>
      <w:numFmt w:val="lowerLetter"/>
      <w:lvlText w:val="%1)"/>
      <w:lvlJc w:val="left"/>
      <w:pPr>
        <w:ind w:left="1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CFDD4">
      <w:start w:val="1"/>
      <w:numFmt w:val="lowerLetter"/>
      <w:lvlText w:val="%2"/>
      <w:lvlJc w:val="left"/>
      <w:pPr>
        <w:ind w:left="2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C4940E">
      <w:start w:val="1"/>
      <w:numFmt w:val="lowerRoman"/>
      <w:lvlText w:val="%3"/>
      <w:lvlJc w:val="left"/>
      <w:pPr>
        <w:ind w:left="2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A84018">
      <w:start w:val="1"/>
      <w:numFmt w:val="decimal"/>
      <w:lvlText w:val="%4"/>
      <w:lvlJc w:val="left"/>
      <w:pPr>
        <w:ind w:left="3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60C5F4">
      <w:start w:val="1"/>
      <w:numFmt w:val="lowerLetter"/>
      <w:lvlText w:val="%5"/>
      <w:lvlJc w:val="left"/>
      <w:pPr>
        <w:ind w:left="4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CA6DB6">
      <w:start w:val="1"/>
      <w:numFmt w:val="lowerRoman"/>
      <w:lvlText w:val="%6"/>
      <w:lvlJc w:val="left"/>
      <w:pPr>
        <w:ind w:left="4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2F436">
      <w:start w:val="1"/>
      <w:numFmt w:val="decimal"/>
      <w:lvlText w:val="%7"/>
      <w:lvlJc w:val="left"/>
      <w:pPr>
        <w:ind w:left="5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CDD7E">
      <w:start w:val="1"/>
      <w:numFmt w:val="lowerLetter"/>
      <w:lvlText w:val="%8"/>
      <w:lvlJc w:val="left"/>
      <w:pPr>
        <w:ind w:left="6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CCFFA4">
      <w:start w:val="1"/>
      <w:numFmt w:val="lowerRoman"/>
      <w:lvlText w:val="%9"/>
      <w:lvlJc w:val="left"/>
      <w:pPr>
        <w:ind w:left="7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591B96"/>
    <w:multiLevelType w:val="hybridMultilevel"/>
    <w:tmpl w:val="FAF04F90"/>
    <w:lvl w:ilvl="0" w:tplc="BF12AE28">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67E4A">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E65E4">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A02D2">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2D4F4">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5837A0">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6E4FC">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DE2C58">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C2B2EC">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8C3675"/>
    <w:multiLevelType w:val="hybridMultilevel"/>
    <w:tmpl w:val="D876B634"/>
    <w:lvl w:ilvl="0" w:tplc="60B46ADE">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464F40">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2A30BE">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E2DE0">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D4782E">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7AEAA6">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668364">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66F5E">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6CB4E">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53DFD"/>
    <w:multiLevelType w:val="hybridMultilevel"/>
    <w:tmpl w:val="92126686"/>
    <w:lvl w:ilvl="0" w:tplc="B93E02AC">
      <w:start w:val="16"/>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49776">
      <w:start w:val="1"/>
      <w:numFmt w:val="lowerLetter"/>
      <w:lvlText w:val="%2)"/>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0A7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42C9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667B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6ED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EE41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A2E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2E4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7A4A54"/>
    <w:multiLevelType w:val="hybridMultilevel"/>
    <w:tmpl w:val="6A7E04EC"/>
    <w:lvl w:ilvl="0" w:tplc="3C48EF50">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B0098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0AE9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E8339E">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2304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7AAFF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6C093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D6A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C6F1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9D029C"/>
    <w:multiLevelType w:val="hybridMultilevel"/>
    <w:tmpl w:val="AEBCEDEC"/>
    <w:lvl w:ilvl="0" w:tplc="24FE82F4">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60BCD6">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D02774">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12E562">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26F836">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0BF80">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EE954">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4DE1C">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E4AEE">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C82D01"/>
    <w:multiLevelType w:val="hybridMultilevel"/>
    <w:tmpl w:val="7664482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43C4C27"/>
    <w:multiLevelType w:val="hybridMultilevel"/>
    <w:tmpl w:val="656E9022"/>
    <w:lvl w:ilvl="0" w:tplc="E996DE3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C441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4FF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EDA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62EE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6C4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A34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AD7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4804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DD4401"/>
    <w:multiLevelType w:val="hybridMultilevel"/>
    <w:tmpl w:val="255CC538"/>
    <w:lvl w:ilvl="0" w:tplc="85A20CC4">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D84CCE">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85C8E">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43154">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A42508">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A6BE86">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A1DF4">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AE4760">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FCB012">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4C62BD"/>
    <w:multiLevelType w:val="hybridMultilevel"/>
    <w:tmpl w:val="759A3694"/>
    <w:lvl w:ilvl="0" w:tplc="5A2CC54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9C1A8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8E1C8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23B6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0A51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366A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98D0A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EC12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407A2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1068DC"/>
    <w:multiLevelType w:val="hybridMultilevel"/>
    <w:tmpl w:val="05086E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C602C6"/>
    <w:multiLevelType w:val="hybridMultilevel"/>
    <w:tmpl w:val="347830FC"/>
    <w:lvl w:ilvl="0" w:tplc="9E84D61C">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62FFC8">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8C078">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C4159C">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BE87B4">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3E2ECC">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211F4">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48DAA6">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E5D3E">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420D48"/>
    <w:multiLevelType w:val="hybridMultilevel"/>
    <w:tmpl w:val="479460EC"/>
    <w:lvl w:ilvl="0" w:tplc="ABBA9A32">
      <w:start w:val="1"/>
      <w:numFmt w:val="bullet"/>
      <w:lvlText w:val=""/>
      <w:lvlJc w:val="left"/>
      <w:pPr>
        <w:ind w:left="1430" w:hanging="360"/>
      </w:pPr>
      <w:rPr>
        <w:rFonts w:ascii="Symbol" w:hAnsi="Symbol" w:hint="default"/>
        <w:color w:val="auto"/>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4" w15:restartNumberingAfterBreak="0">
    <w:nsid w:val="68A25DA6"/>
    <w:multiLevelType w:val="hybridMultilevel"/>
    <w:tmpl w:val="FE3043EA"/>
    <w:lvl w:ilvl="0" w:tplc="B628A81C">
      <w:start w:val="1"/>
      <w:numFmt w:val="low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32EB3C">
      <w:start w:val="1"/>
      <w:numFmt w:val="lowerLetter"/>
      <w:lvlText w:val="%2"/>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76667C">
      <w:start w:val="1"/>
      <w:numFmt w:val="lowerRoman"/>
      <w:lvlText w:val="%3"/>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0B5AC">
      <w:start w:val="1"/>
      <w:numFmt w:val="decimal"/>
      <w:lvlText w:val="%4"/>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CA7FE0">
      <w:start w:val="1"/>
      <w:numFmt w:val="lowerLetter"/>
      <w:lvlText w:val="%5"/>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469372">
      <w:start w:val="1"/>
      <w:numFmt w:val="lowerRoman"/>
      <w:lvlText w:val="%6"/>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CE0A0C">
      <w:start w:val="1"/>
      <w:numFmt w:val="decimal"/>
      <w:lvlText w:val="%7"/>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E329A">
      <w:start w:val="1"/>
      <w:numFmt w:val="lowerLetter"/>
      <w:lvlText w:val="%8"/>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B8CDDA">
      <w:start w:val="1"/>
      <w:numFmt w:val="lowerRoman"/>
      <w:lvlText w:val="%9"/>
      <w:lvlJc w:val="left"/>
      <w:pPr>
        <w:ind w:left="7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C2682D"/>
    <w:multiLevelType w:val="hybridMultilevel"/>
    <w:tmpl w:val="BE707342"/>
    <w:lvl w:ilvl="0" w:tplc="42F41DBE">
      <w:start w:val="10"/>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4FDD0">
      <w:start w:val="1"/>
      <w:numFmt w:val="lowerLetter"/>
      <w:lvlText w:val="%2)"/>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E4EF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427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452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D0AF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5A1E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C060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C6F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7C6140"/>
    <w:multiLevelType w:val="hybridMultilevel"/>
    <w:tmpl w:val="2BB2D8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1970AC"/>
    <w:multiLevelType w:val="hybridMultilevel"/>
    <w:tmpl w:val="66F8B5B6"/>
    <w:lvl w:ilvl="0" w:tplc="A7027862">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E2AC74">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ED50C">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1A45CC">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89594">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F4EE10">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4F354">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848F6">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00F24E">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92939167">
    <w:abstractNumId w:val="5"/>
  </w:num>
  <w:num w:numId="2" w16cid:durableId="1330326547">
    <w:abstractNumId w:val="15"/>
  </w:num>
  <w:num w:numId="3" w16cid:durableId="1730684703">
    <w:abstractNumId w:val="4"/>
  </w:num>
  <w:num w:numId="4" w16cid:durableId="268978453">
    <w:abstractNumId w:val="14"/>
  </w:num>
  <w:num w:numId="5" w16cid:durableId="489105008">
    <w:abstractNumId w:val="12"/>
  </w:num>
  <w:num w:numId="6" w16cid:durableId="1506551404">
    <w:abstractNumId w:val="6"/>
  </w:num>
  <w:num w:numId="7" w16cid:durableId="561410604">
    <w:abstractNumId w:val="1"/>
  </w:num>
  <w:num w:numId="8" w16cid:durableId="1280144577">
    <w:abstractNumId w:val="17"/>
  </w:num>
  <w:num w:numId="9" w16cid:durableId="229659613">
    <w:abstractNumId w:val="2"/>
  </w:num>
  <w:num w:numId="10" w16cid:durableId="1854150966">
    <w:abstractNumId w:val="9"/>
  </w:num>
  <w:num w:numId="11" w16cid:durableId="569000599">
    <w:abstractNumId w:val="3"/>
  </w:num>
  <w:num w:numId="12" w16cid:durableId="105972070">
    <w:abstractNumId w:val="7"/>
  </w:num>
  <w:num w:numId="13" w16cid:durableId="2112243379">
    <w:abstractNumId w:val="11"/>
  </w:num>
  <w:num w:numId="14" w16cid:durableId="157381319">
    <w:abstractNumId w:val="16"/>
  </w:num>
  <w:num w:numId="15" w16cid:durableId="1319193814">
    <w:abstractNumId w:val="10"/>
  </w:num>
  <w:num w:numId="16" w16cid:durableId="1550148719">
    <w:abstractNumId w:val="8"/>
  </w:num>
  <w:num w:numId="17" w16cid:durableId="672993021">
    <w:abstractNumId w:val="13"/>
  </w:num>
  <w:num w:numId="18" w16cid:durableId="57389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EF"/>
    <w:rsid w:val="0003570E"/>
    <w:rsid w:val="00062DE4"/>
    <w:rsid w:val="000A46B8"/>
    <w:rsid w:val="000F67B0"/>
    <w:rsid w:val="0012136B"/>
    <w:rsid w:val="001333E7"/>
    <w:rsid w:val="00157872"/>
    <w:rsid w:val="001F7999"/>
    <w:rsid w:val="00203A1C"/>
    <w:rsid w:val="00205956"/>
    <w:rsid w:val="00230395"/>
    <w:rsid w:val="002B0699"/>
    <w:rsid w:val="00305641"/>
    <w:rsid w:val="003111D5"/>
    <w:rsid w:val="00332DC8"/>
    <w:rsid w:val="00342FA2"/>
    <w:rsid w:val="003948F4"/>
    <w:rsid w:val="003B486C"/>
    <w:rsid w:val="003C2CCA"/>
    <w:rsid w:val="003D77A8"/>
    <w:rsid w:val="004003A1"/>
    <w:rsid w:val="00412AC0"/>
    <w:rsid w:val="0044621A"/>
    <w:rsid w:val="00455B53"/>
    <w:rsid w:val="004F7D74"/>
    <w:rsid w:val="00594AA3"/>
    <w:rsid w:val="0068719C"/>
    <w:rsid w:val="00687E1C"/>
    <w:rsid w:val="006A08DE"/>
    <w:rsid w:val="006D4E25"/>
    <w:rsid w:val="006E5ACA"/>
    <w:rsid w:val="006E6731"/>
    <w:rsid w:val="00744D9F"/>
    <w:rsid w:val="0077074D"/>
    <w:rsid w:val="007F4BD7"/>
    <w:rsid w:val="00810EDB"/>
    <w:rsid w:val="00866816"/>
    <w:rsid w:val="008C53F8"/>
    <w:rsid w:val="009222CC"/>
    <w:rsid w:val="0094428F"/>
    <w:rsid w:val="00951CE3"/>
    <w:rsid w:val="0099729D"/>
    <w:rsid w:val="009C0A05"/>
    <w:rsid w:val="009E5426"/>
    <w:rsid w:val="009F4C20"/>
    <w:rsid w:val="00A04887"/>
    <w:rsid w:val="00A53EBC"/>
    <w:rsid w:val="00B16C94"/>
    <w:rsid w:val="00B403B7"/>
    <w:rsid w:val="00B66294"/>
    <w:rsid w:val="00B83327"/>
    <w:rsid w:val="00BA2A87"/>
    <w:rsid w:val="00BB6345"/>
    <w:rsid w:val="00BC2F3A"/>
    <w:rsid w:val="00BC7BB2"/>
    <w:rsid w:val="00C23299"/>
    <w:rsid w:val="00C63BEF"/>
    <w:rsid w:val="00C83A17"/>
    <w:rsid w:val="00CA1E34"/>
    <w:rsid w:val="00CF45AD"/>
    <w:rsid w:val="00D105C3"/>
    <w:rsid w:val="00D10F6C"/>
    <w:rsid w:val="00D567E8"/>
    <w:rsid w:val="00D864C9"/>
    <w:rsid w:val="00D96E17"/>
    <w:rsid w:val="00DB0720"/>
    <w:rsid w:val="00DE5758"/>
    <w:rsid w:val="00E33930"/>
    <w:rsid w:val="00E91B3C"/>
    <w:rsid w:val="00EA5F2E"/>
    <w:rsid w:val="00ED004D"/>
    <w:rsid w:val="00EE17D0"/>
    <w:rsid w:val="00F031EF"/>
    <w:rsid w:val="00F0681D"/>
    <w:rsid w:val="00F1356E"/>
    <w:rsid w:val="00F24845"/>
    <w:rsid w:val="00F35749"/>
    <w:rsid w:val="00F530F4"/>
    <w:rsid w:val="00FB3163"/>
    <w:rsid w:val="00FC62F5"/>
    <w:rsid w:val="00FD1B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839E"/>
  <w15:docId w15:val="{DCD1AF53-8056-4FB4-9D4B-0B13C8A2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4" w:lineRule="auto"/>
      <w:ind w:left="730" w:right="3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9" w:lineRule="auto"/>
      <w:ind w:left="35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2" w:line="259" w:lineRule="auto"/>
      <w:ind w:left="1076" w:hanging="10"/>
      <w:outlineLvl w:val="1"/>
    </w:pPr>
    <w:rPr>
      <w:rFonts w:ascii="Calibri" w:eastAsia="Calibri" w:hAnsi="Calibri" w:cs="Calibri"/>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0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DB"/>
    <w:rPr>
      <w:rFonts w:ascii="Calibri" w:eastAsia="Calibri" w:hAnsi="Calibri" w:cs="Calibri"/>
      <w:color w:val="000000"/>
    </w:rPr>
  </w:style>
  <w:style w:type="paragraph" w:styleId="BalloonText">
    <w:name w:val="Balloon Text"/>
    <w:basedOn w:val="Normal"/>
    <w:link w:val="BalloonTextChar"/>
    <w:uiPriority w:val="99"/>
    <w:semiHidden/>
    <w:unhideWhenUsed/>
    <w:rsid w:val="0081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DB"/>
    <w:rPr>
      <w:rFonts w:ascii="Tahoma" w:eastAsia="Calibri" w:hAnsi="Tahoma" w:cs="Tahoma"/>
      <w:color w:val="000000"/>
      <w:sz w:val="16"/>
      <w:szCs w:val="16"/>
    </w:rPr>
  </w:style>
  <w:style w:type="character" w:styleId="PlaceholderText">
    <w:name w:val="Placeholder Text"/>
    <w:basedOn w:val="DefaultParagraphFont"/>
    <w:uiPriority w:val="99"/>
    <w:semiHidden/>
    <w:rsid w:val="00810EDB"/>
    <w:rPr>
      <w:color w:val="808080"/>
    </w:rPr>
  </w:style>
  <w:style w:type="paragraph" w:styleId="ListParagraph">
    <w:name w:val="List Paragraph"/>
    <w:basedOn w:val="Normal"/>
    <w:uiPriority w:val="34"/>
    <w:qFormat/>
    <w:rsid w:val="00810EDB"/>
    <w:pPr>
      <w:ind w:left="720"/>
      <w:contextualSpacing/>
    </w:pPr>
  </w:style>
  <w:style w:type="character" w:styleId="Hyperlink">
    <w:name w:val="Hyperlink"/>
    <w:basedOn w:val="DefaultParagraphFont"/>
    <w:uiPriority w:val="99"/>
    <w:unhideWhenUsed/>
    <w:rsid w:val="00BC2F3A"/>
    <w:rPr>
      <w:color w:val="0000FF" w:themeColor="hyperlink"/>
      <w:u w:val="single"/>
    </w:rPr>
  </w:style>
  <w:style w:type="character" w:styleId="CommentReference">
    <w:name w:val="annotation reference"/>
    <w:basedOn w:val="DefaultParagraphFont"/>
    <w:uiPriority w:val="99"/>
    <w:semiHidden/>
    <w:unhideWhenUsed/>
    <w:rsid w:val="00F530F4"/>
    <w:rPr>
      <w:sz w:val="16"/>
      <w:szCs w:val="16"/>
    </w:rPr>
  </w:style>
  <w:style w:type="paragraph" w:styleId="CommentText">
    <w:name w:val="annotation text"/>
    <w:basedOn w:val="Normal"/>
    <w:link w:val="CommentTextChar"/>
    <w:uiPriority w:val="99"/>
    <w:semiHidden/>
    <w:unhideWhenUsed/>
    <w:rsid w:val="00F530F4"/>
    <w:pPr>
      <w:spacing w:line="240" w:lineRule="auto"/>
    </w:pPr>
    <w:rPr>
      <w:sz w:val="20"/>
      <w:szCs w:val="20"/>
    </w:rPr>
  </w:style>
  <w:style w:type="character" w:customStyle="1" w:styleId="CommentTextChar">
    <w:name w:val="Comment Text Char"/>
    <w:basedOn w:val="DefaultParagraphFont"/>
    <w:link w:val="CommentText"/>
    <w:uiPriority w:val="99"/>
    <w:semiHidden/>
    <w:rsid w:val="00F530F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530F4"/>
    <w:rPr>
      <w:b/>
      <w:bCs/>
    </w:rPr>
  </w:style>
  <w:style w:type="character" w:customStyle="1" w:styleId="CommentSubjectChar">
    <w:name w:val="Comment Subject Char"/>
    <w:basedOn w:val="CommentTextChar"/>
    <w:link w:val="CommentSubject"/>
    <w:uiPriority w:val="99"/>
    <w:semiHidden/>
    <w:rsid w:val="00F530F4"/>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CF45AD"/>
    <w:rPr>
      <w:color w:val="800080" w:themeColor="followedHyperlink"/>
      <w:u w:val="single"/>
    </w:rPr>
  </w:style>
  <w:style w:type="paragraph" w:styleId="Revision">
    <w:name w:val="Revision"/>
    <w:hidden/>
    <w:uiPriority w:val="99"/>
    <w:semiHidden/>
    <w:rsid w:val="00E91B3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UNDP_POPP_DOCUMENT_LIBRARY/Admin%20Service_Asset%20Management_Month%20End%20Process%20under%20IPSAS%20including%20Depreciation.jp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opp.undp.org/node/3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F8D69D84B48D2B2188DCA03C914E7"/>
        <w:category>
          <w:name w:val="General"/>
          <w:gallery w:val="placeholder"/>
        </w:category>
        <w:types>
          <w:type w:val="bbPlcHdr"/>
        </w:types>
        <w:behaviors>
          <w:behavior w:val="content"/>
        </w:behaviors>
        <w:guid w:val="{8C921EED-C028-4F5E-A735-1B67B248F9D5}"/>
      </w:docPartPr>
      <w:docPartBody>
        <w:p w:rsidR="00916FFA" w:rsidRDefault="004A04AF">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4AF"/>
    <w:rsid w:val="002A3A7C"/>
    <w:rsid w:val="003534D7"/>
    <w:rsid w:val="00387678"/>
    <w:rsid w:val="004A04AF"/>
    <w:rsid w:val="00916FFA"/>
    <w:rsid w:val="0092773A"/>
    <w:rsid w:val="00C20F09"/>
    <w:rsid w:val="00D032A4"/>
    <w:rsid w:val="00DC21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4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5</DLCPolicyLabelValue>
    <UNDP_POPP_EFFECTIVEDATE xmlns="8264c5cc-ec60-4b56-8111-ce635d3d139a">2016-07-24T22:00:00+00:00</UNDP_POPP_EFFECTIVEDATE>
    <UNDP_POPP_REFITEM_VERSION xmlns="8264c5cc-ec60-4b56-8111-ce635d3d139a">5</UNDP_POPP_REFITEM_VERSION>
    <UNDP_POPP_FILEVERSION xmlns="8264c5cc-ec60-4b56-8111-ce635d3d139a" xsi:nil="true"/>
    <UNDP_POPP_ISACTIVE xmlns="8264c5cc-ec60-4b56-8111-ce635d3d139a">true</UNDP_POPP_ISACTIVE>
    <UNDP_POPP_TITLE_EN xmlns="8264c5cc-ec60-4b56-8111-ce635d3d139a">Furniture and Equipment : Depreciation, Reconciliations Reports and Centralized Functions</UNDP_POPP_TITLE_EN>
    <DLCPolicyLabelLock xmlns="e560140e-7b2f-4392-90df-e7567e3021a3" xsi:nil="true"/>
    <DLCPolicyLabelClientValue xmlns="e560140e-7b2f-4392-90df-e7567e3021a3">Effective Date: 25/07/2016                                                Version #: 5.0</DLCPolicyLabelClientValue>
    <UNDP_POPP_BUSINESSUNITID_HIDDEN xmlns="8264c5cc-ec60-4b56-8111-ce635d3d139a" xsi:nil="true"/>
    <_dlc_DocId xmlns="8264c5cc-ec60-4b56-8111-ce635d3d139a">POPP-11-1871</_dlc_DocId>
    <_dlc_DocIdUrl xmlns="8264c5cc-ec60-4b56-8111-ce635d3d139a">
      <Url>https://popp.undp.org/_layouts/15/DocIdRedir.aspx?ID=POPP-11-1871</Url>
      <Description>POPP-11-1871</Description>
    </_dlc_DocIdUrl>
  </documentManagement>
</p:properties>
</file>

<file path=customXml/itemProps1.xml><?xml version="1.0" encoding="utf-8"?>
<ds:datastoreItem xmlns:ds="http://schemas.openxmlformats.org/officeDocument/2006/customXml" ds:itemID="{4C4A9A16-A52D-43EB-82CB-6A80F1685671}">
  <ds:schemaRefs>
    <ds:schemaRef ds:uri="office.server.policy"/>
  </ds:schemaRefs>
</ds:datastoreItem>
</file>

<file path=customXml/itemProps2.xml><?xml version="1.0" encoding="utf-8"?>
<ds:datastoreItem xmlns:ds="http://schemas.openxmlformats.org/officeDocument/2006/customXml" ds:itemID="{AA0F3C93-FF6C-40F5-96D3-8A489435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36009-84D7-49F6-8894-6B10F065E4F6}">
  <ds:schemaRefs>
    <ds:schemaRef ds:uri="http://schemas.microsoft.com/sharepoint/events"/>
  </ds:schemaRefs>
</ds:datastoreItem>
</file>

<file path=customXml/itemProps4.xml><?xml version="1.0" encoding="utf-8"?>
<ds:datastoreItem xmlns:ds="http://schemas.openxmlformats.org/officeDocument/2006/customXml" ds:itemID="{9A499455-BF72-422E-8190-DBAA0D30FA56}">
  <ds:schemaRefs>
    <ds:schemaRef ds:uri="http://schemas.microsoft.com/sharepoint/v3/contenttype/forms"/>
  </ds:schemaRefs>
</ds:datastoreItem>
</file>

<file path=customXml/itemProps5.xml><?xml version="1.0" encoding="utf-8"?>
<ds:datastoreItem xmlns:ds="http://schemas.openxmlformats.org/officeDocument/2006/customXml" ds:itemID="{E6C46C37-79EE-4343-BE20-CFC7ABD0BB5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2302</Words>
  <Characters>12366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cp:lastModifiedBy>Pablo Morete</cp:lastModifiedBy>
  <cp:revision>6</cp:revision>
  <dcterms:created xsi:type="dcterms:W3CDTF">2023-01-04T17:03:00Z</dcterms:created>
  <dcterms:modified xsi:type="dcterms:W3CDTF">2023-12-05T12:58:00Z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71a837e3-0d53-455c-90a7-b93753a2fad1</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