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F386" w14:textId="77777777" w:rsidR="00255341" w:rsidRPr="00C53987" w:rsidRDefault="00255341" w:rsidP="00255341">
      <w:pPr>
        <w:spacing w:after="0" w:line="240" w:lineRule="auto"/>
        <w:rPr>
          <w:rFonts w:cstheme="minorHAnsi"/>
          <w:b/>
          <w:bCs/>
          <w:sz w:val="24"/>
          <w:szCs w:val="24"/>
        </w:rPr>
      </w:pPr>
      <w:r>
        <w:rPr>
          <w:b/>
          <w:bCs/>
          <w:sz w:val="24"/>
          <w:szCs w:val="24"/>
        </w:rPr>
        <w:t>A1.1. Mecanismo de participación (</w:t>
      </w:r>
      <w:r>
        <w:rPr>
          <w:b/>
          <w:bCs/>
          <w:i/>
          <w:sz w:val="24"/>
          <w:szCs w:val="24"/>
        </w:rPr>
        <w:t>Engagement Facility</w:t>
      </w:r>
      <w:r>
        <w:rPr>
          <w:b/>
          <w:bCs/>
          <w:sz w:val="24"/>
          <w:szCs w:val="24"/>
        </w:rPr>
        <w:t>)</w:t>
      </w:r>
    </w:p>
    <w:p w14:paraId="5ED0F387" w14:textId="77777777" w:rsidR="00255341" w:rsidRPr="004B4009" w:rsidRDefault="00255341" w:rsidP="00255341">
      <w:pPr>
        <w:spacing w:after="0" w:line="240" w:lineRule="auto"/>
        <w:rPr>
          <w:rFonts w:cstheme="minorHAnsi"/>
          <w:bCs/>
        </w:rPr>
      </w:pPr>
    </w:p>
    <w:p w14:paraId="5ED0F388" w14:textId="77777777" w:rsidR="00255341" w:rsidRPr="004B4009" w:rsidRDefault="00255341" w:rsidP="00255341">
      <w:pPr>
        <w:spacing w:after="0" w:line="240" w:lineRule="auto"/>
        <w:rPr>
          <w:rFonts w:cstheme="minorHAnsi"/>
          <w:b/>
          <w:bCs/>
          <w:u w:val="single"/>
        </w:rPr>
      </w:pPr>
      <w:r>
        <w:rPr>
          <w:b/>
          <w:bCs/>
        </w:rPr>
        <w:t>1.0</w:t>
      </w:r>
      <w:r>
        <w:rPr>
          <w:b/>
          <w:bCs/>
        </w:rPr>
        <w:tab/>
        <w:t>Normas y reglamentos</w:t>
      </w:r>
    </w:p>
    <w:p w14:paraId="5ED0F389" w14:textId="77777777" w:rsidR="00255341" w:rsidRPr="004B4009" w:rsidRDefault="00255341" w:rsidP="00255341">
      <w:pPr>
        <w:spacing w:after="0" w:line="240" w:lineRule="auto"/>
        <w:rPr>
          <w:rFonts w:cstheme="minorHAnsi"/>
          <w:b/>
          <w:bCs/>
        </w:rPr>
      </w:pPr>
      <w:r>
        <w:rPr>
          <w:b/>
          <w:bCs/>
        </w:rPr>
        <w:tab/>
      </w:r>
    </w:p>
    <w:p w14:paraId="5ED0F38A" w14:textId="77777777" w:rsidR="00255341" w:rsidRPr="004B4009" w:rsidRDefault="00255341" w:rsidP="00255341">
      <w:pPr>
        <w:spacing w:after="120" w:line="240" w:lineRule="auto"/>
        <w:jc w:val="both"/>
        <w:rPr>
          <w:rFonts w:cstheme="minorHAnsi"/>
          <w:b/>
          <w:bCs/>
          <w:u w:val="single"/>
        </w:rPr>
      </w:pPr>
      <w:r>
        <w:rPr>
          <w:b/>
          <w:bCs/>
        </w:rPr>
        <w:t>2.0</w:t>
      </w:r>
      <w:r>
        <w:rPr>
          <w:b/>
          <w:bCs/>
        </w:rPr>
        <w:tab/>
        <w:t xml:space="preserve">Política </w:t>
      </w:r>
    </w:p>
    <w:p w14:paraId="5ED0F38B" w14:textId="77777777" w:rsidR="00255341" w:rsidRPr="00CD795E" w:rsidRDefault="00255341" w:rsidP="00255341">
      <w:pPr>
        <w:pStyle w:val="ListParagraph"/>
        <w:numPr>
          <w:ilvl w:val="0"/>
          <w:numId w:val="1"/>
        </w:numPr>
        <w:spacing w:after="120" w:line="240" w:lineRule="auto"/>
        <w:ind w:left="450"/>
        <w:contextualSpacing w:val="0"/>
        <w:jc w:val="both"/>
        <w:rPr>
          <w:rFonts w:cstheme="minorHAnsi"/>
          <w:bCs/>
        </w:rPr>
      </w:pPr>
      <w:r>
        <w:t>El mecanismo de participación proporciona una herramienta de respuesta rápida y flexible para respaldar los resultados de políticas anteriores, evaluaciones, respuestas a la crisis y las pruebas de innovación con posibilidad de ampliación. Debe respaldar los resultados identificados en el Plan Estratégico del PNUD y los documentos del programa de país o la región pertinentes.</w:t>
      </w:r>
    </w:p>
    <w:p w14:paraId="5ED0F38C" w14:textId="77777777" w:rsidR="00255341" w:rsidRPr="00D3284D" w:rsidRDefault="00255341" w:rsidP="00255341">
      <w:pPr>
        <w:pStyle w:val="ListParagraph"/>
        <w:numPr>
          <w:ilvl w:val="0"/>
          <w:numId w:val="1"/>
        </w:numPr>
        <w:spacing w:after="120" w:line="240" w:lineRule="auto"/>
        <w:ind w:left="450"/>
        <w:contextualSpacing w:val="0"/>
        <w:jc w:val="both"/>
        <w:rPr>
          <w:rFonts w:cstheme="minorHAnsi"/>
          <w:bCs/>
          <w:spacing w:val="-2"/>
        </w:rPr>
      </w:pPr>
      <w:r w:rsidRPr="00D3284D">
        <w:rPr>
          <w:spacing w:val="-2"/>
        </w:rPr>
        <w:t xml:space="preserve">Cualquier oficina </w:t>
      </w:r>
      <w:r>
        <w:rPr>
          <w:spacing w:val="-2"/>
        </w:rPr>
        <w:t>de</w:t>
      </w:r>
      <w:r w:rsidRPr="00D3284D">
        <w:rPr>
          <w:spacing w:val="-2"/>
        </w:rPr>
        <w:t xml:space="preserve"> país, </w:t>
      </w:r>
      <w:r>
        <w:rPr>
          <w:spacing w:val="-2"/>
        </w:rPr>
        <w:t>C</w:t>
      </w:r>
      <w:r w:rsidRPr="00D3284D">
        <w:rPr>
          <w:spacing w:val="-2"/>
        </w:rPr>
        <w:t xml:space="preserve">entro </w:t>
      </w:r>
      <w:r>
        <w:rPr>
          <w:spacing w:val="-2"/>
        </w:rPr>
        <w:t>R</w:t>
      </w:r>
      <w:r w:rsidRPr="00D3284D">
        <w:rPr>
          <w:spacing w:val="-2"/>
        </w:rPr>
        <w:t xml:space="preserve">egional o </w:t>
      </w:r>
      <w:r>
        <w:rPr>
          <w:spacing w:val="-2"/>
        </w:rPr>
        <w:t>Buró</w:t>
      </w:r>
      <w:r w:rsidRPr="00D3284D">
        <w:rPr>
          <w:spacing w:val="-2"/>
        </w:rPr>
        <w:t xml:space="preserve"> puede establecer uno o más </w:t>
      </w:r>
      <w:r>
        <w:rPr>
          <w:spacing w:val="-2"/>
        </w:rPr>
        <w:t>mecanismos</w:t>
      </w:r>
      <w:r w:rsidRPr="00D3284D">
        <w:rPr>
          <w:spacing w:val="-2"/>
        </w:rPr>
        <w:t xml:space="preserve"> de participación de acuerdo con esta política. El </w:t>
      </w:r>
      <w:r>
        <w:rPr>
          <w:spacing w:val="-2"/>
        </w:rPr>
        <w:t>gerente del programa</w:t>
      </w:r>
      <w:r w:rsidRPr="00D3284D">
        <w:rPr>
          <w:spacing w:val="-2"/>
        </w:rPr>
        <w:t>/Representante Residente puede comprometer recursos</w:t>
      </w:r>
      <w:r w:rsidRPr="00D3284D">
        <w:rPr>
          <w:spacing w:val="-2"/>
          <w:sz w:val="20"/>
          <w:szCs w:val="20"/>
        </w:rPr>
        <w:t xml:space="preserve"> </w:t>
      </w:r>
      <w:r w:rsidRPr="00D3284D">
        <w:rPr>
          <w:spacing w:val="-2"/>
        </w:rPr>
        <w:t xml:space="preserve">al firmar el plan de trabajo plurianual actualizado que se mantiene para el </w:t>
      </w:r>
      <w:r>
        <w:rPr>
          <w:spacing w:val="-2"/>
        </w:rPr>
        <w:t>mecanismo</w:t>
      </w:r>
      <w:r w:rsidRPr="00D3284D">
        <w:rPr>
          <w:spacing w:val="-2"/>
        </w:rPr>
        <w:t xml:space="preserve"> de participación. La instalación siempre utiliza la implementación directa. Se requieren términos de referencia y notas conceptuales, según convenga, para justificar y detallar los resultados esperados.</w:t>
      </w:r>
    </w:p>
    <w:p w14:paraId="5ED0F38D" w14:textId="77777777" w:rsidR="00255341" w:rsidRPr="004B4009" w:rsidRDefault="00255341" w:rsidP="00255341">
      <w:pPr>
        <w:pStyle w:val="ListParagraph"/>
        <w:numPr>
          <w:ilvl w:val="0"/>
          <w:numId w:val="1"/>
        </w:numPr>
        <w:spacing w:after="120" w:line="240" w:lineRule="auto"/>
        <w:ind w:left="450"/>
        <w:contextualSpacing w:val="0"/>
        <w:jc w:val="both"/>
        <w:rPr>
          <w:rFonts w:cstheme="minorHAnsi"/>
          <w:bCs/>
        </w:rPr>
      </w:pPr>
      <w:r>
        <w:t>No hay un nivel máximo de financiación prescrito para el mecanismo de participación. La financiación puede provenir de un límite de gasto anual (ASL) para la instalación (anteriormente ASL del Departamento de Protección y Seguridad [DSS]) y de una variedad de recursos básicos/objetivo de la distribución de recursos con cargo a los fondos básicos (TRAC) y complementarios, tales como la cuenta de participación en los gastos del programa (cuenta 11888), contribuciones globales al programa en el país, líneas de recursos básicos del programa regional y mundial, balances de ingresos de participación en los gastos residuales (se debe asegurar el acuerdo del donante), y contribuciones directas del Gobierno y participación en los gastos de terceros. Cualquier fondo elegible sobrante al final del programa se puede derivar al mecanismo de participación y utilizar para el próximo programa en el país.</w:t>
      </w:r>
    </w:p>
    <w:p w14:paraId="5ED0F38E" w14:textId="77777777" w:rsidR="00255341" w:rsidRPr="004B4009" w:rsidRDefault="00255341" w:rsidP="00255341">
      <w:pPr>
        <w:pStyle w:val="ListParagraph"/>
        <w:numPr>
          <w:ilvl w:val="0"/>
          <w:numId w:val="1"/>
        </w:numPr>
        <w:spacing w:after="120" w:line="240" w:lineRule="auto"/>
        <w:ind w:left="450"/>
        <w:contextualSpacing w:val="0"/>
        <w:jc w:val="both"/>
        <w:rPr>
          <w:rFonts w:cstheme="minorHAnsi"/>
          <w:bCs/>
        </w:rPr>
      </w:pPr>
      <w:r>
        <w:t xml:space="preserve">Todas las políticas sobre presentación de informes a nivel corporativo y país, los SESP, las auditorías y la gestión de riesgos rigen de igual manera para el mecanismo de participación. </w:t>
      </w:r>
    </w:p>
    <w:p w14:paraId="5ED0F38F" w14:textId="77777777" w:rsidR="00255341" w:rsidRPr="004B4009" w:rsidRDefault="00255341" w:rsidP="00255341">
      <w:pPr>
        <w:pStyle w:val="ListParagraph"/>
        <w:numPr>
          <w:ilvl w:val="0"/>
          <w:numId w:val="1"/>
        </w:numPr>
        <w:spacing w:after="120" w:line="240" w:lineRule="auto"/>
        <w:ind w:left="450"/>
        <w:contextualSpacing w:val="0"/>
        <w:jc w:val="both"/>
        <w:rPr>
          <w:rFonts w:cstheme="minorHAnsi"/>
          <w:bCs/>
        </w:rPr>
      </w:pPr>
      <w:r>
        <w:t>La siguiente es una lista de actividades/gastos que el mecanismo de participación podría y no podría financiar.</w:t>
      </w:r>
    </w:p>
    <w:tbl>
      <w:tblPr>
        <w:tblStyle w:val="TableGrid"/>
        <w:tblW w:w="8856" w:type="dxa"/>
        <w:tblInd w:w="108" w:type="dxa"/>
        <w:tblLook w:val="04A0" w:firstRow="1" w:lastRow="0" w:firstColumn="1" w:lastColumn="0" w:noHBand="0" w:noVBand="1"/>
      </w:tblPr>
      <w:tblGrid>
        <w:gridCol w:w="4428"/>
        <w:gridCol w:w="4428"/>
      </w:tblGrid>
      <w:tr w:rsidR="00255341" w:rsidRPr="004B4009" w14:paraId="5ED0F392" w14:textId="77777777" w:rsidTr="00AA544C">
        <w:tc>
          <w:tcPr>
            <w:tcW w:w="4428" w:type="dxa"/>
          </w:tcPr>
          <w:p w14:paraId="5ED0F390" w14:textId="77777777" w:rsidR="00255341" w:rsidRPr="004B4009" w:rsidRDefault="00255341" w:rsidP="00AA544C">
            <w:pPr>
              <w:jc w:val="center"/>
              <w:rPr>
                <w:rFonts w:cstheme="minorHAnsi"/>
                <w:b/>
                <w:bCs/>
              </w:rPr>
            </w:pPr>
            <w:r>
              <w:rPr>
                <w:b/>
                <w:bCs/>
              </w:rPr>
              <w:t>Puede financiar</w:t>
            </w:r>
          </w:p>
        </w:tc>
        <w:tc>
          <w:tcPr>
            <w:tcW w:w="4428" w:type="dxa"/>
          </w:tcPr>
          <w:p w14:paraId="5ED0F391" w14:textId="77777777" w:rsidR="00255341" w:rsidRPr="004B4009" w:rsidRDefault="00255341" w:rsidP="00AA544C">
            <w:pPr>
              <w:jc w:val="center"/>
              <w:rPr>
                <w:rFonts w:cstheme="minorHAnsi"/>
                <w:b/>
                <w:bCs/>
              </w:rPr>
            </w:pPr>
            <w:r>
              <w:rPr>
                <w:b/>
                <w:bCs/>
              </w:rPr>
              <w:t>No puede financiar</w:t>
            </w:r>
          </w:p>
        </w:tc>
      </w:tr>
      <w:tr w:rsidR="00255341" w:rsidRPr="007A5553" w14:paraId="5ED0F395" w14:textId="77777777" w:rsidTr="00AA544C">
        <w:tc>
          <w:tcPr>
            <w:tcW w:w="4428" w:type="dxa"/>
          </w:tcPr>
          <w:p w14:paraId="5ED0F393" w14:textId="77777777" w:rsidR="00255341" w:rsidRPr="004B4009" w:rsidRDefault="00255341" w:rsidP="00AA544C">
            <w:pPr>
              <w:rPr>
                <w:rFonts w:cstheme="minorHAnsi"/>
                <w:bCs/>
                <w:sz w:val="20"/>
                <w:szCs w:val="20"/>
              </w:rPr>
            </w:pPr>
            <w:r>
              <w:rPr>
                <w:bCs/>
                <w:sz w:val="20"/>
                <w:szCs w:val="20"/>
              </w:rPr>
              <w:t>Consultores, Voluntarios de las Naciones Unidas (VNU) (locales, regionales o internacionales)</w:t>
            </w:r>
          </w:p>
        </w:tc>
        <w:tc>
          <w:tcPr>
            <w:tcW w:w="4428" w:type="dxa"/>
          </w:tcPr>
          <w:p w14:paraId="5ED0F394" w14:textId="77777777" w:rsidR="00255341" w:rsidRPr="00B1102A" w:rsidRDefault="00255341" w:rsidP="00AA544C">
            <w:pPr>
              <w:rPr>
                <w:rFonts w:cstheme="minorHAnsi"/>
                <w:bCs/>
                <w:sz w:val="20"/>
                <w:szCs w:val="20"/>
                <w:lang w:val="pt-PT"/>
              </w:rPr>
            </w:pPr>
            <w:r w:rsidRPr="00B1102A">
              <w:rPr>
                <w:bCs/>
                <w:sz w:val="20"/>
                <w:szCs w:val="20"/>
                <w:lang w:val="pt-PT"/>
              </w:rPr>
              <w:t>Subsidios de bajo valor o microcapital</w:t>
            </w:r>
          </w:p>
        </w:tc>
      </w:tr>
      <w:tr w:rsidR="00255341" w:rsidRPr="004B4009" w14:paraId="5ED0F398" w14:textId="77777777" w:rsidTr="00AA544C">
        <w:tc>
          <w:tcPr>
            <w:tcW w:w="4428" w:type="dxa"/>
          </w:tcPr>
          <w:p w14:paraId="5ED0F396" w14:textId="77777777" w:rsidR="00255341" w:rsidRPr="004B4009" w:rsidRDefault="00255341" w:rsidP="00AA544C">
            <w:pPr>
              <w:rPr>
                <w:rFonts w:cstheme="minorHAnsi"/>
                <w:bCs/>
                <w:sz w:val="20"/>
                <w:szCs w:val="20"/>
              </w:rPr>
            </w:pPr>
            <w:r>
              <w:rPr>
                <w:bCs/>
                <w:sz w:val="20"/>
                <w:szCs w:val="20"/>
              </w:rPr>
              <w:t>Personal del PNUD que proporciona apoyo a actividades relacionadas</w:t>
            </w:r>
          </w:p>
        </w:tc>
        <w:tc>
          <w:tcPr>
            <w:tcW w:w="4428" w:type="dxa"/>
          </w:tcPr>
          <w:p w14:paraId="5ED0F397" w14:textId="77777777" w:rsidR="00255341" w:rsidRPr="004B4009" w:rsidRDefault="00255341" w:rsidP="00AA544C">
            <w:pPr>
              <w:rPr>
                <w:rFonts w:cstheme="minorHAnsi"/>
                <w:bCs/>
                <w:sz w:val="20"/>
                <w:szCs w:val="20"/>
              </w:rPr>
            </w:pPr>
            <w:r>
              <w:rPr>
                <w:sz w:val="20"/>
                <w:szCs w:val="20"/>
              </w:rPr>
              <w:t>Actividades que no son coherentes con otras políticas pertinentes del PNUD, incluidas las SES</w:t>
            </w:r>
          </w:p>
        </w:tc>
      </w:tr>
      <w:tr w:rsidR="00255341" w:rsidRPr="004B4009" w14:paraId="5ED0F39E" w14:textId="77777777" w:rsidTr="00AA544C">
        <w:tc>
          <w:tcPr>
            <w:tcW w:w="4428" w:type="dxa"/>
          </w:tcPr>
          <w:p w14:paraId="5ED0F39C" w14:textId="77777777" w:rsidR="00255341" w:rsidRPr="004B4009" w:rsidRDefault="00255341" w:rsidP="00AA544C">
            <w:pPr>
              <w:rPr>
                <w:rFonts w:cstheme="minorHAnsi"/>
                <w:bCs/>
                <w:sz w:val="20"/>
                <w:szCs w:val="20"/>
              </w:rPr>
            </w:pPr>
            <w:r>
              <w:rPr>
                <w:bCs/>
                <w:sz w:val="20"/>
                <w:szCs w:val="20"/>
              </w:rPr>
              <w:t>Publicaciones</w:t>
            </w:r>
          </w:p>
        </w:tc>
        <w:tc>
          <w:tcPr>
            <w:tcW w:w="4428" w:type="dxa"/>
          </w:tcPr>
          <w:p w14:paraId="5ED0F39D" w14:textId="77777777" w:rsidR="00255341" w:rsidRPr="004B4009" w:rsidRDefault="00255341" w:rsidP="00AA544C">
            <w:pPr>
              <w:rPr>
                <w:rFonts w:cstheme="minorHAnsi"/>
                <w:bCs/>
                <w:sz w:val="20"/>
                <w:szCs w:val="20"/>
              </w:rPr>
            </w:pPr>
            <w:r>
              <w:rPr>
                <w:bCs/>
                <w:sz w:val="20"/>
                <w:szCs w:val="20"/>
              </w:rPr>
              <w:t>Infraestructura</w:t>
            </w:r>
          </w:p>
        </w:tc>
      </w:tr>
      <w:tr w:rsidR="00255341" w:rsidRPr="004B4009" w14:paraId="5ED0F3A1" w14:textId="77777777" w:rsidTr="00AA544C">
        <w:tc>
          <w:tcPr>
            <w:tcW w:w="4428" w:type="dxa"/>
          </w:tcPr>
          <w:p w14:paraId="5ED0F39F" w14:textId="77777777" w:rsidR="00255341" w:rsidRPr="004B4009" w:rsidRDefault="00255341" w:rsidP="00AA544C">
            <w:pPr>
              <w:rPr>
                <w:rFonts w:cstheme="minorHAnsi"/>
                <w:bCs/>
                <w:sz w:val="20"/>
                <w:szCs w:val="20"/>
              </w:rPr>
            </w:pPr>
            <w:r>
              <w:rPr>
                <w:bCs/>
                <w:sz w:val="20"/>
                <w:szCs w:val="20"/>
              </w:rPr>
              <w:t>Talleres, conferencias, eventos de aprendizaje</w:t>
            </w:r>
          </w:p>
        </w:tc>
        <w:tc>
          <w:tcPr>
            <w:tcW w:w="4428" w:type="dxa"/>
          </w:tcPr>
          <w:p w14:paraId="5ED0F3A0" w14:textId="77777777" w:rsidR="00255341" w:rsidRPr="004B4009" w:rsidRDefault="00255341" w:rsidP="00AA544C">
            <w:pPr>
              <w:rPr>
                <w:rFonts w:cstheme="minorHAnsi"/>
                <w:bCs/>
                <w:sz w:val="20"/>
                <w:szCs w:val="20"/>
              </w:rPr>
            </w:pPr>
            <w:r>
              <w:rPr>
                <w:bCs/>
                <w:sz w:val="20"/>
                <w:szCs w:val="20"/>
              </w:rPr>
              <w:t>Transferencias de efectivo a partes responsables</w:t>
            </w:r>
          </w:p>
        </w:tc>
      </w:tr>
      <w:tr w:rsidR="00255341" w:rsidRPr="004B4009" w14:paraId="5ED0F3A4" w14:textId="77777777" w:rsidTr="00AA544C">
        <w:tc>
          <w:tcPr>
            <w:tcW w:w="4428" w:type="dxa"/>
          </w:tcPr>
          <w:p w14:paraId="5ED0F3A2" w14:textId="77777777" w:rsidR="00255341" w:rsidRPr="004B4009" w:rsidRDefault="00255341" w:rsidP="00AA544C">
            <w:pPr>
              <w:rPr>
                <w:rFonts w:cstheme="minorHAnsi"/>
                <w:bCs/>
                <w:sz w:val="20"/>
                <w:szCs w:val="20"/>
              </w:rPr>
            </w:pPr>
            <w:r>
              <w:rPr>
                <w:bCs/>
                <w:sz w:val="20"/>
                <w:szCs w:val="20"/>
              </w:rPr>
              <w:t>Cooperación Sur-Sur y/o triangular</w:t>
            </w:r>
          </w:p>
        </w:tc>
        <w:tc>
          <w:tcPr>
            <w:tcW w:w="4428" w:type="dxa"/>
          </w:tcPr>
          <w:p w14:paraId="5ED0F3A3" w14:textId="77777777" w:rsidR="00255341" w:rsidRPr="004B4009" w:rsidRDefault="00255341" w:rsidP="00AA544C">
            <w:pPr>
              <w:rPr>
                <w:rFonts w:cstheme="minorHAnsi"/>
                <w:bCs/>
                <w:sz w:val="20"/>
                <w:szCs w:val="20"/>
              </w:rPr>
            </w:pPr>
          </w:p>
        </w:tc>
      </w:tr>
      <w:tr w:rsidR="00255341" w:rsidRPr="004B4009" w14:paraId="5ED0F3A7" w14:textId="77777777" w:rsidTr="00AA544C">
        <w:tc>
          <w:tcPr>
            <w:tcW w:w="4428" w:type="dxa"/>
          </w:tcPr>
          <w:p w14:paraId="5ED0F3A5" w14:textId="77777777" w:rsidR="00255341" w:rsidRPr="004B4009" w:rsidRDefault="00255341" w:rsidP="00AA544C">
            <w:pPr>
              <w:rPr>
                <w:rFonts w:cstheme="minorHAnsi"/>
                <w:bCs/>
                <w:sz w:val="20"/>
                <w:szCs w:val="20"/>
              </w:rPr>
            </w:pPr>
            <w:r>
              <w:rPr>
                <w:bCs/>
                <w:sz w:val="20"/>
                <w:szCs w:val="20"/>
              </w:rPr>
              <w:t>Vínculos académicos, de políticas o investigación entre instituciones</w:t>
            </w:r>
          </w:p>
        </w:tc>
        <w:tc>
          <w:tcPr>
            <w:tcW w:w="4428" w:type="dxa"/>
          </w:tcPr>
          <w:p w14:paraId="5ED0F3A6" w14:textId="77777777" w:rsidR="00255341" w:rsidRPr="004B4009" w:rsidRDefault="00255341" w:rsidP="00AA544C">
            <w:pPr>
              <w:rPr>
                <w:rFonts w:cstheme="minorHAnsi"/>
                <w:bCs/>
                <w:sz w:val="20"/>
                <w:szCs w:val="20"/>
              </w:rPr>
            </w:pPr>
          </w:p>
        </w:tc>
      </w:tr>
      <w:tr w:rsidR="00255341" w:rsidRPr="004B4009" w14:paraId="5ED0F3AA" w14:textId="77777777" w:rsidTr="00AA544C">
        <w:tc>
          <w:tcPr>
            <w:tcW w:w="4428" w:type="dxa"/>
          </w:tcPr>
          <w:p w14:paraId="5ED0F3A8" w14:textId="77777777" w:rsidR="00255341" w:rsidRPr="004B4009" w:rsidRDefault="00255341" w:rsidP="00AA544C">
            <w:pPr>
              <w:rPr>
                <w:rFonts w:cstheme="minorHAnsi"/>
                <w:bCs/>
                <w:sz w:val="20"/>
                <w:szCs w:val="20"/>
              </w:rPr>
            </w:pPr>
            <w:r>
              <w:rPr>
                <w:bCs/>
                <w:sz w:val="20"/>
                <w:szCs w:val="20"/>
              </w:rPr>
              <w:t xml:space="preserve">Evaluaciones de impacto después del cierre de un proyecto </w:t>
            </w:r>
          </w:p>
        </w:tc>
        <w:tc>
          <w:tcPr>
            <w:tcW w:w="4428" w:type="dxa"/>
          </w:tcPr>
          <w:p w14:paraId="5ED0F3A9" w14:textId="77777777" w:rsidR="00255341" w:rsidRPr="004B4009" w:rsidRDefault="00255341" w:rsidP="00AA544C">
            <w:pPr>
              <w:rPr>
                <w:rFonts w:cstheme="minorHAnsi"/>
                <w:bCs/>
                <w:sz w:val="20"/>
                <w:szCs w:val="20"/>
              </w:rPr>
            </w:pPr>
          </w:p>
        </w:tc>
      </w:tr>
    </w:tbl>
    <w:p w14:paraId="5ED0F3AB" w14:textId="77777777" w:rsidR="00255341" w:rsidRPr="004B4009" w:rsidRDefault="00255341" w:rsidP="00255341">
      <w:pPr>
        <w:spacing w:after="0" w:line="240" w:lineRule="auto"/>
        <w:rPr>
          <w:rFonts w:cstheme="minorHAnsi"/>
          <w:b/>
          <w:bCs/>
        </w:rPr>
      </w:pPr>
      <w:r>
        <w:tab/>
      </w:r>
      <w:r>
        <w:tab/>
      </w:r>
    </w:p>
    <w:p w14:paraId="5ED0F3AC" w14:textId="77777777" w:rsidR="00DE18B2" w:rsidRDefault="00DE18B2" w:rsidP="00DE18B2">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5ED0F3AD" w14:textId="77777777" w:rsidR="00DE18B2" w:rsidRDefault="00DE18B2" w:rsidP="00DE18B2">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5ED0F3AF" w14:textId="2DB71159" w:rsidR="00000000" w:rsidRPr="009110EC" w:rsidRDefault="00DE18B2" w:rsidP="009110EC">
      <w:pPr>
        <w:pStyle w:val="NormalWeb"/>
        <w:shd w:val="clear" w:color="auto" w:fill="FFFFFF"/>
        <w:spacing w:before="0" w:beforeAutospacing="0" w:after="0" w:afterAutospacing="0"/>
        <w:jc w:val="center"/>
        <w:rPr>
          <w:rFonts w:ascii="Calibri" w:hAnsi="Calibri"/>
          <w:color w:val="000000"/>
          <w:lang w:val="es-ES_tradnl"/>
        </w:rPr>
      </w:pPr>
      <w:r w:rsidRPr="00DE18B2">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sectPr w:rsidR="00791F51" w:rsidRPr="009110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4225" w14:textId="77777777" w:rsidR="005D6931" w:rsidRDefault="005D6931" w:rsidP="009110EC">
      <w:pPr>
        <w:spacing w:after="0" w:line="240" w:lineRule="auto"/>
      </w:pPr>
      <w:r>
        <w:separator/>
      </w:r>
    </w:p>
  </w:endnote>
  <w:endnote w:type="continuationSeparator" w:id="0">
    <w:p w14:paraId="34B4F01A" w14:textId="77777777" w:rsidR="005D6931" w:rsidRDefault="005D6931" w:rsidP="0091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11AC" w14:textId="77777777" w:rsidR="009110EC" w:rsidRDefault="00911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419B" w14:textId="3491C960" w:rsidR="009110EC" w:rsidRPr="009110EC" w:rsidRDefault="009110EC" w:rsidP="009110EC">
    <w:pPr>
      <w:pStyle w:val="Footer"/>
      <w:ind w:right="360"/>
      <w:jc w:val="center"/>
      <w:rPr>
        <w:lang w:val="en-GB"/>
      </w:rPr>
    </w:pPr>
    <w:r w:rsidRPr="005340D2">
      <w:rPr>
        <w:lang w:val="en-GB"/>
      </w:rPr>
      <w:t>Pag</w:t>
    </w:r>
    <w:r w:rsidR="00E00A1B">
      <w:rPr>
        <w:lang w:val="en-GB"/>
      </w:rPr>
      <w:t>.</w:t>
    </w:r>
    <w:r w:rsidRPr="005340D2">
      <w:rPr>
        <w:lang w:val="en-GB"/>
      </w:rPr>
      <w:t xml:space="preserve"> </w:t>
    </w:r>
    <w:r>
      <w:rPr>
        <w:b/>
        <w:bCs/>
      </w:rPr>
      <w:fldChar w:fldCharType="begin"/>
    </w:r>
    <w:r w:rsidRPr="005340D2">
      <w:rPr>
        <w:b/>
        <w:bCs/>
        <w:lang w:val="en-GB"/>
      </w:rPr>
      <w:instrText xml:space="preserve"> PAGE  \* Arabic  \* MERGEFORMAT </w:instrText>
    </w:r>
    <w:r>
      <w:rPr>
        <w:b/>
        <w:bCs/>
      </w:rPr>
      <w:fldChar w:fldCharType="separate"/>
    </w:r>
    <w:r w:rsidRPr="009110EC">
      <w:rPr>
        <w:b/>
        <w:bCs/>
        <w:lang w:val="en-GB"/>
      </w:rPr>
      <w:t>1</w:t>
    </w:r>
    <w:r>
      <w:rPr>
        <w:b/>
        <w:bCs/>
      </w:rPr>
      <w:fldChar w:fldCharType="end"/>
    </w:r>
    <w:r w:rsidRPr="005340D2">
      <w:rPr>
        <w:lang w:val="en-GB"/>
      </w:rPr>
      <w:t xml:space="preserve"> of </w:t>
    </w:r>
    <w:r>
      <w:rPr>
        <w:b/>
        <w:bCs/>
      </w:rPr>
      <w:fldChar w:fldCharType="begin"/>
    </w:r>
    <w:r w:rsidRPr="005340D2">
      <w:rPr>
        <w:b/>
        <w:bCs/>
        <w:lang w:val="en-GB"/>
      </w:rPr>
      <w:instrText xml:space="preserve"> NUMPAGES  \* Arabic  \* MERGEFORMAT </w:instrText>
    </w:r>
    <w:r>
      <w:rPr>
        <w:b/>
        <w:bCs/>
      </w:rPr>
      <w:fldChar w:fldCharType="separate"/>
    </w:r>
    <w:r w:rsidRPr="009110EC">
      <w:rPr>
        <w:b/>
        <w:bCs/>
        <w:lang w:val="en-GB"/>
      </w:rPr>
      <w:t>2</w:t>
    </w:r>
    <w:r>
      <w:rPr>
        <w:b/>
        <w:bCs/>
      </w:rPr>
      <w:fldChar w:fldCharType="end"/>
    </w:r>
    <w:r>
      <w:ptab w:relativeTo="margin" w:alignment="center" w:leader="none"/>
    </w:r>
    <w:r w:rsidRPr="005340D2">
      <w:rPr>
        <w:lang w:val="en-GB"/>
      </w:rPr>
      <w:t xml:space="preserve">Effective Date: 05/06/2018 </w:t>
    </w:r>
    <w:r>
      <w:ptab w:relativeTo="margin" w:alignment="right" w:leader="none"/>
    </w:r>
    <w:r w:rsidRPr="005340D2">
      <w:rPr>
        <w:lang w:val="en-GB"/>
      </w:rPr>
      <w:t>v.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F59A" w14:textId="77777777" w:rsidR="009110EC" w:rsidRDefault="0091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D65BD" w14:textId="77777777" w:rsidR="005D6931" w:rsidRDefault="005D6931" w:rsidP="009110EC">
      <w:pPr>
        <w:spacing w:after="0" w:line="240" w:lineRule="auto"/>
      </w:pPr>
      <w:r>
        <w:separator/>
      </w:r>
    </w:p>
  </w:footnote>
  <w:footnote w:type="continuationSeparator" w:id="0">
    <w:p w14:paraId="740D673B" w14:textId="77777777" w:rsidR="005D6931" w:rsidRDefault="005D6931" w:rsidP="0091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7009" w14:textId="77777777" w:rsidR="009110EC" w:rsidRDefault="00911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4B23" w14:textId="77777777" w:rsidR="009110EC" w:rsidRDefault="00911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2DC2" w14:textId="77777777" w:rsidR="009110EC" w:rsidRDefault="0091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81605"/>
    <w:multiLevelType w:val="hybridMultilevel"/>
    <w:tmpl w:val="DC5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84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41"/>
    <w:rsid w:val="00255341"/>
    <w:rsid w:val="005D6931"/>
    <w:rsid w:val="007D7666"/>
    <w:rsid w:val="00821E6B"/>
    <w:rsid w:val="008A03FF"/>
    <w:rsid w:val="009110EC"/>
    <w:rsid w:val="009D00E5"/>
    <w:rsid w:val="00B2718C"/>
    <w:rsid w:val="00B30659"/>
    <w:rsid w:val="00DE18B2"/>
    <w:rsid w:val="00E0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F386"/>
  <w15:chartTrackingRefBased/>
  <w15:docId w15:val="{135B2F83-A4A2-406F-9ACB-F1F20E9A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341"/>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255341"/>
    <w:pPr>
      <w:ind w:left="720"/>
      <w:contextualSpacing/>
    </w:pPr>
  </w:style>
  <w:style w:type="table" w:styleId="TableGrid">
    <w:name w:val="Table Grid"/>
    <w:basedOn w:val="TableNormal"/>
    <w:uiPriority w:val="39"/>
    <w:rsid w:val="0025534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255341"/>
    <w:rPr>
      <w:lang w:val="es-ES"/>
    </w:rPr>
  </w:style>
  <w:style w:type="paragraph" w:styleId="NormalWeb">
    <w:name w:val="Normal (Web)"/>
    <w:basedOn w:val="Normal"/>
    <w:uiPriority w:val="99"/>
    <w:unhideWhenUsed/>
    <w:rsid w:val="00DE18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11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C"/>
    <w:rPr>
      <w:lang w:val="es-ES"/>
    </w:rPr>
  </w:style>
  <w:style w:type="paragraph" w:styleId="Footer">
    <w:name w:val="footer"/>
    <w:basedOn w:val="Normal"/>
    <w:link w:val="FooterChar"/>
    <w:uiPriority w:val="99"/>
    <w:unhideWhenUsed/>
    <w:rsid w:val="0091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Mecanismo de participación (Engagement Facility)</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POPP-11-2961</_dlc_DocId>
    <_dlc_DocIdUrl xmlns="8264c5cc-ec60-4b56-8111-ce635d3d139a">
      <Url>https://popp.undp.org/_layouts/15/DocIdRedir.aspx?ID=POPP-11-2961</Url>
      <Description>POPP-11-2961</Description>
    </_dlc_DocIdUrl>
    <DLCPolicyLabelValue xmlns="e560140e-7b2f-4392-90df-e7567e3021a3">Effective Date: {Effective Date}                                                Version #: 3</DLCPolicyLabelVal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F20A3-5090-48E1-A299-50B2D2709A9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BA96C1F5-7442-403C-8F99-8F479B43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31C30-A9DC-4776-B974-6F6F7BE5CC4F}">
  <ds:schemaRefs>
    <ds:schemaRef ds:uri="http://schemas.microsoft.com/sharepoint/events"/>
  </ds:schemaRefs>
</ds:datastoreItem>
</file>

<file path=customXml/itemProps4.xml><?xml version="1.0" encoding="utf-8"?>
<ds:datastoreItem xmlns:ds="http://schemas.openxmlformats.org/officeDocument/2006/customXml" ds:itemID="{652B8653-2005-45BC-BACB-F4E856D57F6A}">
  <ds:schemaRefs>
    <ds:schemaRef ds:uri="office.server.policy"/>
  </ds:schemaRefs>
</ds:datastoreItem>
</file>

<file path=customXml/itemProps5.xml><?xml version="1.0" encoding="utf-8"?>
<ds:datastoreItem xmlns:ds="http://schemas.openxmlformats.org/officeDocument/2006/customXml" ds:itemID="{46C707FC-4BA8-4027-99B3-914834889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5</cp:revision>
  <dcterms:created xsi:type="dcterms:W3CDTF">2019-01-15T18:59:00Z</dcterms:created>
  <dcterms:modified xsi:type="dcterms:W3CDTF">2024-05-20T12:46:00Z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4702674d-995c-4f3c-93b8-7713d54d806b</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