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21FE" w14:textId="47DF6573" w:rsidR="007B6AE6" w:rsidRPr="00B84935" w:rsidRDefault="007B6AE6" w:rsidP="007B6AE6">
      <w:pPr>
        <w:spacing w:after="0" w:line="240" w:lineRule="auto"/>
        <w:rPr>
          <w:rFonts w:cstheme="minorHAnsi"/>
          <w:b/>
          <w:bCs/>
          <w:sz w:val="28"/>
          <w:szCs w:val="28"/>
        </w:rPr>
      </w:pPr>
      <w:r w:rsidRPr="00B84935">
        <w:rPr>
          <w:rFonts w:cstheme="minorHAnsi"/>
          <w:b/>
          <w:bCs/>
          <w:sz w:val="28"/>
          <w:szCs w:val="28"/>
        </w:rPr>
        <w:t>A1.</w:t>
      </w:r>
      <w:r w:rsidR="001949ED">
        <w:rPr>
          <w:rFonts w:cstheme="minorHAnsi"/>
          <w:b/>
          <w:bCs/>
          <w:sz w:val="28"/>
          <w:szCs w:val="28"/>
        </w:rPr>
        <w:t>1</w:t>
      </w:r>
      <w:r w:rsidRPr="00B84935">
        <w:rPr>
          <w:rFonts w:cstheme="minorHAnsi"/>
          <w:b/>
          <w:bCs/>
          <w:sz w:val="28"/>
          <w:szCs w:val="28"/>
        </w:rPr>
        <w:t>. Engagement Facility</w:t>
      </w:r>
    </w:p>
    <w:p w14:paraId="626E558F" w14:textId="77777777" w:rsidR="007B6AE6" w:rsidRPr="004B4009" w:rsidRDefault="007B6AE6" w:rsidP="007B6AE6">
      <w:pPr>
        <w:spacing w:after="0" w:line="240" w:lineRule="auto"/>
        <w:rPr>
          <w:rFonts w:cstheme="minorHAnsi"/>
          <w:b/>
          <w:bCs/>
        </w:rPr>
      </w:pPr>
      <w:r w:rsidRPr="004B4009">
        <w:rPr>
          <w:rFonts w:cstheme="minorHAnsi"/>
          <w:b/>
          <w:bCs/>
        </w:rPr>
        <w:tab/>
      </w:r>
    </w:p>
    <w:p w14:paraId="392DF527" w14:textId="77777777" w:rsidR="007B6AE6" w:rsidRPr="00CD795E" w:rsidRDefault="007B6AE6" w:rsidP="007B6AE6">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The </w:t>
      </w:r>
      <w:r>
        <w:rPr>
          <w:rFonts w:cstheme="minorHAnsi"/>
          <w:bCs/>
        </w:rPr>
        <w:t>e</w:t>
      </w:r>
      <w:r w:rsidRPr="004B4009">
        <w:rPr>
          <w:rFonts w:cstheme="minorHAnsi"/>
          <w:bCs/>
        </w:rPr>
        <w:t xml:space="preserve">ngagement </w:t>
      </w:r>
      <w:r>
        <w:rPr>
          <w:rFonts w:cstheme="minorHAnsi"/>
          <w:bCs/>
        </w:rPr>
        <w:t>f</w:t>
      </w:r>
      <w:r w:rsidRPr="004B4009">
        <w:rPr>
          <w:rFonts w:cstheme="minorHAnsi"/>
          <w:bCs/>
        </w:rPr>
        <w:t xml:space="preserve">acility provides a rapid and flexible response mechanism to support upstream policy results, evaluation </w:t>
      </w:r>
      <w:r>
        <w:rPr>
          <w:rFonts w:cstheme="minorHAnsi"/>
          <w:bCs/>
        </w:rPr>
        <w:t>and</w:t>
      </w:r>
      <w:r w:rsidRPr="004B4009">
        <w:rPr>
          <w:rFonts w:cstheme="minorHAnsi"/>
          <w:bCs/>
        </w:rPr>
        <w:t xml:space="preserve"> assessments, crisis</w:t>
      </w:r>
      <w:r>
        <w:rPr>
          <w:rFonts w:cstheme="minorHAnsi"/>
          <w:bCs/>
        </w:rPr>
        <w:t xml:space="preserve"> responses</w:t>
      </w:r>
      <w:r w:rsidRPr="004B4009">
        <w:rPr>
          <w:rFonts w:cstheme="minorHAnsi"/>
          <w:bCs/>
        </w:rPr>
        <w:t xml:space="preserve"> and </w:t>
      </w:r>
      <w:r>
        <w:rPr>
          <w:rFonts w:cstheme="minorHAnsi"/>
          <w:bCs/>
        </w:rPr>
        <w:t xml:space="preserve">the </w:t>
      </w:r>
      <w:r w:rsidRPr="004B4009">
        <w:rPr>
          <w:rFonts w:cstheme="minorHAnsi"/>
          <w:bCs/>
        </w:rPr>
        <w:t>test</w:t>
      </w:r>
      <w:r>
        <w:rPr>
          <w:rFonts w:cstheme="minorHAnsi"/>
          <w:bCs/>
        </w:rPr>
        <w:t>ing of</w:t>
      </w:r>
      <w:r w:rsidRPr="004B4009">
        <w:rPr>
          <w:rFonts w:cstheme="minorHAnsi"/>
          <w:bCs/>
        </w:rPr>
        <w:t xml:space="preserve"> innovations with scal</w:t>
      </w:r>
      <w:r>
        <w:rPr>
          <w:rFonts w:cstheme="minorHAnsi"/>
          <w:bCs/>
        </w:rPr>
        <w:t>e</w:t>
      </w:r>
      <w:r w:rsidRPr="004B4009">
        <w:rPr>
          <w:rFonts w:cstheme="minorHAnsi"/>
          <w:bCs/>
        </w:rPr>
        <w:t>-up potential</w:t>
      </w:r>
      <w:r>
        <w:rPr>
          <w:rFonts w:cstheme="minorHAnsi"/>
          <w:bCs/>
        </w:rPr>
        <w:t>. It</w:t>
      </w:r>
      <w:r w:rsidRPr="004B4009">
        <w:rPr>
          <w:rFonts w:cstheme="minorHAnsi"/>
          <w:bCs/>
        </w:rPr>
        <w:t xml:space="preserve"> must support results identified in the UNDP Strategic Plan and relevant country or regional programme documents.</w:t>
      </w:r>
    </w:p>
    <w:p w14:paraId="3322BA0D" w14:textId="77777777" w:rsidR="007B6AE6" w:rsidRPr="004B4009" w:rsidRDefault="007B6AE6" w:rsidP="007B6AE6">
      <w:pPr>
        <w:pStyle w:val="ListParagraph"/>
        <w:numPr>
          <w:ilvl w:val="0"/>
          <w:numId w:val="1"/>
        </w:numPr>
        <w:spacing w:after="120" w:line="240" w:lineRule="auto"/>
        <w:ind w:left="450"/>
        <w:contextualSpacing w:val="0"/>
        <w:jc w:val="both"/>
        <w:rPr>
          <w:rFonts w:cstheme="minorHAnsi"/>
          <w:bCs/>
        </w:rPr>
      </w:pPr>
      <w:r w:rsidRPr="00CD795E">
        <w:rPr>
          <w:rFonts w:cstheme="minorHAnsi"/>
          <w:bCs/>
        </w:rPr>
        <w:t xml:space="preserve">Any country office, regional hub or Bureau may establish one or more engagement facilities in accordance with this policy. Resources can be committed by the </w:t>
      </w:r>
      <w:r w:rsidRPr="00CD795E">
        <w:rPr>
          <w:rFonts w:cstheme="minorHAnsi"/>
        </w:rPr>
        <w:t>programme manager/Resident Representative</w:t>
      </w:r>
      <w:r>
        <w:rPr>
          <w:rFonts w:cstheme="minorHAnsi"/>
          <w:sz w:val="20"/>
          <w:szCs w:val="20"/>
        </w:rPr>
        <w:t xml:space="preserve"> </w:t>
      </w:r>
      <w:r w:rsidRPr="004B4009">
        <w:rPr>
          <w:rFonts w:cstheme="minorHAnsi"/>
          <w:bCs/>
        </w:rPr>
        <w:t>by signing the updated multi-</w:t>
      </w:r>
      <w:r>
        <w:rPr>
          <w:rFonts w:cstheme="minorHAnsi"/>
          <w:bCs/>
        </w:rPr>
        <w:t>y</w:t>
      </w:r>
      <w:r w:rsidRPr="004B4009">
        <w:rPr>
          <w:rFonts w:cstheme="minorHAnsi"/>
          <w:bCs/>
        </w:rPr>
        <w:t>ear work</w:t>
      </w:r>
      <w:r>
        <w:rPr>
          <w:rFonts w:cstheme="minorHAnsi"/>
          <w:bCs/>
        </w:rPr>
        <w:t>p</w:t>
      </w:r>
      <w:r w:rsidRPr="004B4009">
        <w:rPr>
          <w:rFonts w:cstheme="minorHAnsi"/>
          <w:bCs/>
        </w:rPr>
        <w:t xml:space="preserve">lan maintained for the </w:t>
      </w:r>
      <w:r>
        <w:rPr>
          <w:rFonts w:cstheme="minorHAnsi"/>
          <w:bCs/>
        </w:rPr>
        <w:t>e</w:t>
      </w:r>
      <w:r w:rsidRPr="004B4009">
        <w:rPr>
          <w:rFonts w:cstheme="minorHAnsi"/>
          <w:bCs/>
        </w:rPr>
        <w:t xml:space="preserve">ngagement </w:t>
      </w:r>
      <w:r>
        <w:rPr>
          <w:rFonts w:cstheme="minorHAnsi"/>
          <w:bCs/>
        </w:rPr>
        <w:t>f</w:t>
      </w:r>
      <w:r w:rsidRPr="004B4009">
        <w:rPr>
          <w:rFonts w:cstheme="minorHAnsi"/>
          <w:bCs/>
        </w:rPr>
        <w:t xml:space="preserve">acility. The </w:t>
      </w:r>
      <w:r>
        <w:rPr>
          <w:rFonts w:cstheme="minorHAnsi"/>
          <w:bCs/>
        </w:rPr>
        <w:t>f</w:t>
      </w:r>
      <w:r w:rsidRPr="004B4009">
        <w:rPr>
          <w:rFonts w:cstheme="minorHAnsi"/>
          <w:bCs/>
        </w:rPr>
        <w:t>acility always uses direct implementation</w:t>
      </w:r>
      <w:r>
        <w:rPr>
          <w:rFonts w:cstheme="minorHAnsi"/>
          <w:bCs/>
        </w:rPr>
        <w:t>. Terms of reference</w:t>
      </w:r>
      <w:r w:rsidRPr="004B4009">
        <w:rPr>
          <w:rFonts w:cstheme="minorHAnsi"/>
          <w:bCs/>
        </w:rPr>
        <w:t xml:space="preserve"> and concept notes, as relevant, are required to justify and detail expected results.</w:t>
      </w:r>
    </w:p>
    <w:p w14:paraId="5648593E" w14:textId="77777777" w:rsidR="007B6AE6" w:rsidRPr="004B4009" w:rsidRDefault="007B6AE6" w:rsidP="007B6AE6">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There is no prescribed maximum funding level for </w:t>
      </w:r>
      <w:r>
        <w:rPr>
          <w:rFonts w:cstheme="minorHAnsi"/>
          <w:bCs/>
        </w:rPr>
        <w:t>the e</w:t>
      </w:r>
      <w:r w:rsidRPr="004B4009">
        <w:rPr>
          <w:rFonts w:cstheme="minorHAnsi"/>
          <w:bCs/>
        </w:rPr>
        <w:t xml:space="preserve">ngagement </w:t>
      </w:r>
      <w:r>
        <w:rPr>
          <w:rFonts w:cstheme="minorHAnsi"/>
          <w:bCs/>
        </w:rPr>
        <w:t>f</w:t>
      </w:r>
      <w:r w:rsidRPr="004B4009">
        <w:rPr>
          <w:rFonts w:cstheme="minorHAnsi"/>
          <w:bCs/>
        </w:rPr>
        <w:t xml:space="preserve">acility. Funding may come from an annual spending limit (ASL) for the </w:t>
      </w:r>
      <w:r>
        <w:rPr>
          <w:rFonts w:cstheme="minorHAnsi"/>
          <w:bCs/>
        </w:rPr>
        <w:t>f</w:t>
      </w:r>
      <w:r w:rsidRPr="004B4009">
        <w:rPr>
          <w:rFonts w:cstheme="minorHAnsi"/>
          <w:bCs/>
        </w:rPr>
        <w:t xml:space="preserve">acility (formerly the DSS ASL), and from a variety of core/TRAC and non-core resources, such as </w:t>
      </w:r>
      <w:r>
        <w:rPr>
          <w:rFonts w:cstheme="minorHAnsi"/>
          <w:bCs/>
        </w:rPr>
        <w:t xml:space="preserve">the </w:t>
      </w:r>
      <w:r w:rsidRPr="004B4009">
        <w:rPr>
          <w:rFonts w:cstheme="minorHAnsi"/>
          <w:bCs/>
        </w:rPr>
        <w:t>programme cost</w:t>
      </w:r>
      <w:r>
        <w:rPr>
          <w:rFonts w:cstheme="minorHAnsi"/>
          <w:bCs/>
        </w:rPr>
        <w:t>-</w:t>
      </w:r>
      <w:r w:rsidRPr="004B4009">
        <w:rPr>
          <w:rFonts w:cstheme="minorHAnsi"/>
          <w:bCs/>
        </w:rPr>
        <w:t>sharing account (11888 account), blanket contributions to the country programme, regional and global core programme resource lines, residual cost</w:t>
      </w:r>
      <w:r>
        <w:rPr>
          <w:rFonts w:cstheme="minorHAnsi"/>
          <w:bCs/>
        </w:rPr>
        <w:t>-</w:t>
      </w:r>
      <w:r w:rsidRPr="004B4009">
        <w:rPr>
          <w:rFonts w:cstheme="minorHAnsi"/>
          <w:bCs/>
        </w:rPr>
        <w:t>sharing income balances (donor agreement must be secured), and direct government and third</w:t>
      </w:r>
      <w:r>
        <w:rPr>
          <w:rFonts w:cstheme="minorHAnsi"/>
          <w:bCs/>
        </w:rPr>
        <w:t>-</w:t>
      </w:r>
      <w:r w:rsidRPr="004B4009">
        <w:rPr>
          <w:rFonts w:cstheme="minorHAnsi"/>
          <w:bCs/>
        </w:rPr>
        <w:t>party cost</w:t>
      </w:r>
      <w:r>
        <w:rPr>
          <w:rFonts w:cstheme="minorHAnsi"/>
          <w:bCs/>
        </w:rPr>
        <w:t>-</w:t>
      </w:r>
      <w:r w:rsidRPr="004B4009">
        <w:rPr>
          <w:rFonts w:cstheme="minorHAnsi"/>
          <w:bCs/>
        </w:rPr>
        <w:t xml:space="preserve">sharing contributions. Any eligible funds remaining at the end of the </w:t>
      </w:r>
      <w:r>
        <w:rPr>
          <w:rFonts w:cstheme="minorHAnsi"/>
          <w:bCs/>
        </w:rPr>
        <w:t>p</w:t>
      </w:r>
      <w:r w:rsidRPr="004B4009">
        <w:rPr>
          <w:rFonts w:cstheme="minorHAnsi"/>
          <w:bCs/>
        </w:rPr>
        <w:t xml:space="preserve">rogramme can </w:t>
      </w:r>
      <w:r>
        <w:rPr>
          <w:rFonts w:cstheme="minorHAnsi"/>
          <w:bCs/>
        </w:rPr>
        <w:t xml:space="preserve">be </w:t>
      </w:r>
      <w:r w:rsidRPr="004B4009">
        <w:rPr>
          <w:rFonts w:cstheme="minorHAnsi"/>
          <w:bCs/>
        </w:rPr>
        <w:t>roll</w:t>
      </w:r>
      <w:r>
        <w:rPr>
          <w:rFonts w:cstheme="minorHAnsi"/>
          <w:bCs/>
        </w:rPr>
        <w:t>ed</w:t>
      </w:r>
      <w:r w:rsidRPr="004B4009">
        <w:rPr>
          <w:rFonts w:cstheme="minorHAnsi"/>
          <w:bCs/>
        </w:rPr>
        <w:t xml:space="preserve"> into the </w:t>
      </w:r>
      <w:r>
        <w:rPr>
          <w:rFonts w:cstheme="minorHAnsi"/>
          <w:bCs/>
        </w:rPr>
        <w:t>e</w:t>
      </w:r>
      <w:r w:rsidRPr="004B4009">
        <w:rPr>
          <w:rFonts w:cstheme="minorHAnsi"/>
          <w:bCs/>
        </w:rPr>
        <w:t xml:space="preserve">ngagement </w:t>
      </w:r>
      <w:r>
        <w:rPr>
          <w:rFonts w:cstheme="minorHAnsi"/>
          <w:bCs/>
        </w:rPr>
        <w:t>f</w:t>
      </w:r>
      <w:r w:rsidRPr="004B4009">
        <w:rPr>
          <w:rFonts w:cstheme="minorHAnsi"/>
          <w:bCs/>
        </w:rPr>
        <w:t xml:space="preserve">acility </w:t>
      </w:r>
      <w:r>
        <w:rPr>
          <w:rFonts w:cstheme="minorHAnsi"/>
          <w:bCs/>
        </w:rPr>
        <w:t xml:space="preserve">and </w:t>
      </w:r>
      <w:r w:rsidRPr="004B4009">
        <w:rPr>
          <w:rFonts w:cstheme="minorHAnsi"/>
          <w:bCs/>
        </w:rPr>
        <w:t xml:space="preserve">used for the next </w:t>
      </w:r>
      <w:r>
        <w:rPr>
          <w:rFonts w:cstheme="minorHAnsi"/>
          <w:bCs/>
        </w:rPr>
        <w:t>c</w:t>
      </w:r>
      <w:r w:rsidRPr="004B4009">
        <w:rPr>
          <w:rFonts w:cstheme="minorHAnsi"/>
          <w:bCs/>
        </w:rPr>
        <w:t xml:space="preserve">ountry </w:t>
      </w:r>
      <w:r>
        <w:rPr>
          <w:rFonts w:cstheme="minorHAnsi"/>
          <w:bCs/>
        </w:rPr>
        <w:t>p</w:t>
      </w:r>
      <w:r w:rsidRPr="004B4009">
        <w:rPr>
          <w:rFonts w:cstheme="minorHAnsi"/>
          <w:bCs/>
        </w:rPr>
        <w:t>rogramme.</w:t>
      </w:r>
    </w:p>
    <w:p w14:paraId="3094752B" w14:textId="77777777" w:rsidR="007B6AE6" w:rsidRPr="004B4009" w:rsidRDefault="007B6AE6" w:rsidP="007B6AE6">
      <w:pPr>
        <w:pStyle w:val="ListParagraph"/>
        <w:numPr>
          <w:ilvl w:val="0"/>
          <w:numId w:val="1"/>
        </w:numPr>
        <w:spacing w:after="120" w:line="240" w:lineRule="auto"/>
        <w:ind w:left="450"/>
        <w:contextualSpacing w:val="0"/>
        <w:jc w:val="both"/>
        <w:rPr>
          <w:rFonts w:cstheme="minorHAnsi"/>
          <w:bCs/>
        </w:rPr>
      </w:pPr>
      <w:r w:rsidRPr="004B4009">
        <w:rPr>
          <w:rFonts w:cstheme="minorHAnsi"/>
          <w:bCs/>
        </w:rPr>
        <w:t>All policies on corporate and country-level reporting</w:t>
      </w:r>
      <w:r w:rsidRPr="00F40A2F">
        <w:rPr>
          <w:rFonts w:cstheme="minorHAnsi"/>
          <w:bCs/>
        </w:rPr>
        <w:t xml:space="preserve">, </w:t>
      </w:r>
      <w:r w:rsidRPr="00CD795E">
        <w:rPr>
          <w:rFonts w:cstheme="minorHAnsi"/>
          <w:bCs/>
        </w:rPr>
        <w:t xml:space="preserve">the </w:t>
      </w:r>
      <w:r>
        <w:rPr>
          <w:rFonts w:cstheme="minorHAnsi"/>
        </w:rPr>
        <w:t>SESP</w:t>
      </w:r>
      <w:r w:rsidRPr="004B4009">
        <w:rPr>
          <w:rFonts w:cstheme="minorHAnsi"/>
          <w:bCs/>
        </w:rPr>
        <w:t xml:space="preserve">, audit and risk management equally apply to the </w:t>
      </w:r>
      <w:r>
        <w:rPr>
          <w:rFonts w:cstheme="minorHAnsi"/>
          <w:bCs/>
        </w:rPr>
        <w:t>e</w:t>
      </w:r>
      <w:r w:rsidRPr="004B4009">
        <w:rPr>
          <w:rFonts w:cstheme="minorHAnsi"/>
          <w:bCs/>
        </w:rPr>
        <w:t xml:space="preserve">ngagement </w:t>
      </w:r>
      <w:r>
        <w:rPr>
          <w:rFonts w:cstheme="minorHAnsi"/>
          <w:bCs/>
        </w:rPr>
        <w:t>f</w:t>
      </w:r>
      <w:r w:rsidRPr="004B4009">
        <w:rPr>
          <w:rFonts w:cstheme="minorHAnsi"/>
          <w:bCs/>
        </w:rPr>
        <w:t xml:space="preserve">acility. </w:t>
      </w:r>
    </w:p>
    <w:p w14:paraId="4A5FBDB3" w14:textId="77777777" w:rsidR="007B6AE6" w:rsidRPr="004B4009" w:rsidRDefault="007B6AE6" w:rsidP="007B6AE6">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The following is a list of activities/expenses that </w:t>
      </w:r>
      <w:r>
        <w:rPr>
          <w:rFonts w:cstheme="minorHAnsi"/>
          <w:bCs/>
        </w:rPr>
        <w:t>the e</w:t>
      </w:r>
      <w:r w:rsidRPr="004B4009">
        <w:rPr>
          <w:rFonts w:cstheme="minorHAnsi"/>
          <w:bCs/>
        </w:rPr>
        <w:t xml:space="preserve">ngagement </w:t>
      </w:r>
      <w:r>
        <w:rPr>
          <w:rFonts w:cstheme="minorHAnsi"/>
          <w:bCs/>
        </w:rPr>
        <w:t>f</w:t>
      </w:r>
      <w:r w:rsidRPr="004B4009">
        <w:rPr>
          <w:rFonts w:cstheme="minorHAnsi"/>
          <w:bCs/>
        </w:rPr>
        <w:t>acility may</w:t>
      </w:r>
      <w:r>
        <w:rPr>
          <w:rFonts w:cstheme="minorHAnsi"/>
          <w:bCs/>
        </w:rPr>
        <w:t xml:space="preserve"> and may not</w:t>
      </w:r>
      <w:r w:rsidRPr="004B4009">
        <w:rPr>
          <w:rFonts w:cstheme="minorHAnsi"/>
          <w:bCs/>
        </w:rPr>
        <w:t xml:space="preserve"> fund</w:t>
      </w:r>
      <w:r>
        <w:rPr>
          <w:rFonts w:cstheme="minorHAnsi"/>
          <w:bCs/>
        </w:rPr>
        <w:t>.</w:t>
      </w:r>
    </w:p>
    <w:tbl>
      <w:tblPr>
        <w:tblStyle w:val="TableGrid"/>
        <w:tblW w:w="8856" w:type="dxa"/>
        <w:tblInd w:w="108" w:type="dxa"/>
        <w:tblLook w:val="04A0" w:firstRow="1" w:lastRow="0" w:firstColumn="1" w:lastColumn="0" w:noHBand="0" w:noVBand="1"/>
      </w:tblPr>
      <w:tblGrid>
        <w:gridCol w:w="4428"/>
        <w:gridCol w:w="4428"/>
      </w:tblGrid>
      <w:tr w:rsidR="00F13E8D" w:rsidRPr="004B4009" w14:paraId="67937B1D" w14:textId="77777777" w:rsidTr="007270FA">
        <w:tc>
          <w:tcPr>
            <w:tcW w:w="4428" w:type="dxa"/>
          </w:tcPr>
          <w:p w14:paraId="14ABA117" w14:textId="77777777" w:rsidR="00F13E8D" w:rsidRPr="004B4009" w:rsidRDefault="00F13E8D" w:rsidP="007270FA">
            <w:pPr>
              <w:jc w:val="center"/>
              <w:rPr>
                <w:rFonts w:cstheme="minorHAnsi"/>
                <w:b/>
                <w:bCs/>
              </w:rPr>
            </w:pPr>
            <w:r w:rsidRPr="004B4009">
              <w:rPr>
                <w:rFonts w:cstheme="minorHAnsi"/>
                <w:b/>
                <w:bCs/>
              </w:rPr>
              <w:t>Can Fund</w:t>
            </w:r>
          </w:p>
        </w:tc>
        <w:tc>
          <w:tcPr>
            <w:tcW w:w="4428" w:type="dxa"/>
          </w:tcPr>
          <w:p w14:paraId="174FB305" w14:textId="77777777" w:rsidR="00F13E8D" w:rsidRPr="004B4009" w:rsidRDefault="00F13E8D" w:rsidP="007270FA">
            <w:pPr>
              <w:jc w:val="center"/>
              <w:rPr>
                <w:rFonts w:cstheme="minorHAnsi"/>
                <w:b/>
                <w:bCs/>
              </w:rPr>
            </w:pPr>
            <w:r w:rsidRPr="004B4009">
              <w:rPr>
                <w:rFonts w:cstheme="minorHAnsi"/>
                <w:b/>
                <w:bCs/>
              </w:rPr>
              <w:t>Cannot Fund</w:t>
            </w:r>
          </w:p>
        </w:tc>
      </w:tr>
      <w:tr w:rsidR="00F13E8D" w:rsidRPr="004B4009" w14:paraId="07B1A94D" w14:textId="77777777" w:rsidTr="007270FA">
        <w:tc>
          <w:tcPr>
            <w:tcW w:w="4428" w:type="dxa"/>
          </w:tcPr>
          <w:p w14:paraId="1FE6FF7F" w14:textId="77777777" w:rsidR="00F13E8D" w:rsidRPr="004B4009" w:rsidRDefault="00F13E8D" w:rsidP="007270FA">
            <w:pPr>
              <w:rPr>
                <w:rFonts w:cstheme="minorHAnsi"/>
                <w:bCs/>
                <w:sz w:val="20"/>
                <w:szCs w:val="20"/>
              </w:rPr>
            </w:pPr>
            <w:r w:rsidRPr="004B4009">
              <w:rPr>
                <w:rFonts w:cstheme="minorHAnsi"/>
                <w:bCs/>
                <w:sz w:val="20"/>
                <w:szCs w:val="20"/>
              </w:rPr>
              <w:t>Consultants, UNVs</w:t>
            </w:r>
            <w:r>
              <w:rPr>
                <w:rFonts w:cstheme="minorHAnsi"/>
                <w:bCs/>
                <w:sz w:val="20"/>
                <w:szCs w:val="20"/>
              </w:rPr>
              <w:t>—</w:t>
            </w:r>
            <w:r w:rsidRPr="004B4009">
              <w:rPr>
                <w:rFonts w:cstheme="minorHAnsi"/>
                <w:bCs/>
                <w:sz w:val="20"/>
                <w:szCs w:val="20"/>
              </w:rPr>
              <w:t>local, regional or international</w:t>
            </w:r>
          </w:p>
        </w:tc>
        <w:tc>
          <w:tcPr>
            <w:tcW w:w="4428" w:type="dxa"/>
          </w:tcPr>
          <w:p w14:paraId="7BE47D8E" w14:textId="77777777" w:rsidR="00F13E8D" w:rsidRPr="004B4009" w:rsidRDefault="00F13E8D" w:rsidP="007270FA">
            <w:pPr>
              <w:rPr>
                <w:rFonts w:cstheme="minorHAnsi"/>
                <w:bCs/>
                <w:sz w:val="20"/>
                <w:szCs w:val="20"/>
              </w:rPr>
            </w:pPr>
            <w:r w:rsidRPr="004B4009">
              <w:rPr>
                <w:rFonts w:cstheme="minorHAnsi"/>
                <w:bCs/>
                <w:sz w:val="20"/>
                <w:szCs w:val="20"/>
              </w:rPr>
              <w:t>Low</w:t>
            </w:r>
            <w:r>
              <w:rPr>
                <w:rFonts w:cstheme="minorHAnsi"/>
                <w:bCs/>
                <w:sz w:val="20"/>
                <w:szCs w:val="20"/>
              </w:rPr>
              <w:t>-</w:t>
            </w:r>
            <w:r w:rsidRPr="004B4009">
              <w:rPr>
                <w:rFonts w:cstheme="minorHAnsi"/>
                <w:bCs/>
                <w:sz w:val="20"/>
                <w:szCs w:val="20"/>
              </w:rPr>
              <w:t>value or micro</w:t>
            </w:r>
            <w:r>
              <w:rPr>
                <w:rFonts w:cstheme="minorHAnsi"/>
                <w:bCs/>
                <w:sz w:val="20"/>
                <w:szCs w:val="20"/>
              </w:rPr>
              <w:t>-</w:t>
            </w:r>
            <w:r w:rsidRPr="004B4009">
              <w:rPr>
                <w:rFonts w:cstheme="minorHAnsi"/>
                <w:bCs/>
                <w:sz w:val="20"/>
                <w:szCs w:val="20"/>
              </w:rPr>
              <w:t>capital grants</w:t>
            </w:r>
          </w:p>
        </w:tc>
      </w:tr>
      <w:tr w:rsidR="00F13E8D" w:rsidRPr="004B4009" w14:paraId="21B89529" w14:textId="77777777" w:rsidTr="007270FA">
        <w:tc>
          <w:tcPr>
            <w:tcW w:w="4428" w:type="dxa"/>
          </w:tcPr>
          <w:p w14:paraId="45B89410" w14:textId="77777777" w:rsidR="00F13E8D" w:rsidRPr="004B4009" w:rsidRDefault="00F13E8D" w:rsidP="007270FA">
            <w:pPr>
              <w:rPr>
                <w:rFonts w:cstheme="minorHAnsi"/>
                <w:bCs/>
                <w:sz w:val="20"/>
                <w:szCs w:val="20"/>
              </w:rPr>
            </w:pPr>
            <w:r w:rsidRPr="004B4009">
              <w:rPr>
                <w:rFonts w:cstheme="minorHAnsi"/>
                <w:bCs/>
                <w:sz w:val="20"/>
                <w:szCs w:val="20"/>
              </w:rPr>
              <w:t>UNDP staff directly supporting related activities</w:t>
            </w:r>
          </w:p>
        </w:tc>
        <w:tc>
          <w:tcPr>
            <w:tcW w:w="4428" w:type="dxa"/>
          </w:tcPr>
          <w:p w14:paraId="55150047" w14:textId="77777777" w:rsidR="00F13E8D" w:rsidRPr="004B4009" w:rsidRDefault="00F13E8D" w:rsidP="007270FA">
            <w:pPr>
              <w:rPr>
                <w:rFonts w:cstheme="minorHAnsi"/>
                <w:bCs/>
                <w:sz w:val="20"/>
                <w:szCs w:val="20"/>
              </w:rPr>
            </w:pPr>
            <w:r w:rsidRPr="004B4009">
              <w:rPr>
                <w:rFonts w:cstheme="minorHAnsi"/>
                <w:sz w:val="20"/>
                <w:szCs w:val="20"/>
              </w:rPr>
              <w:t xml:space="preserve">Activities not consistent with other relevant UNDP policies, including </w:t>
            </w:r>
            <w:r w:rsidRPr="00F40A2F">
              <w:rPr>
                <w:rFonts w:cstheme="minorHAnsi"/>
                <w:sz w:val="20"/>
                <w:szCs w:val="20"/>
              </w:rPr>
              <w:t xml:space="preserve">the </w:t>
            </w:r>
            <w:r>
              <w:rPr>
                <w:rFonts w:cstheme="minorHAnsi"/>
                <w:sz w:val="20"/>
                <w:szCs w:val="20"/>
              </w:rPr>
              <w:t>SES</w:t>
            </w:r>
          </w:p>
        </w:tc>
      </w:tr>
      <w:tr w:rsidR="00F13E8D" w:rsidRPr="004B4009" w14:paraId="31889D91" w14:textId="77777777" w:rsidTr="007270FA">
        <w:tc>
          <w:tcPr>
            <w:tcW w:w="4428" w:type="dxa"/>
          </w:tcPr>
          <w:p w14:paraId="390737D2" w14:textId="77777777" w:rsidR="00F13E8D" w:rsidRPr="004B4009" w:rsidRDefault="00F13E8D" w:rsidP="007270FA">
            <w:pPr>
              <w:rPr>
                <w:rFonts w:cstheme="minorHAnsi"/>
                <w:bCs/>
                <w:sz w:val="20"/>
                <w:szCs w:val="20"/>
              </w:rPr>
            </w:pPr>
            <w:r w:rsidRPr="004B4009">
              <w:rPr>
                <w:rFonts w:cstheme="minorHAnsi"/>
                <w:bCs/>
                <w:sz w:val="20"/>
                <w:szCs w:val="20"/>
              </w:rPr>
              <w:t>Publications</w:t>
            </w:r>
          </w:p>
        </w:tc>
        <w:tc>
          <w:tcPr>
            <w:tcW w:w="4428" w:type="dxa"/>
          </w:tcPr>
          <w:p w14:paraId="64F54C9A" w14:textId="77777777" w:rsidR="00F13E8D" w:rsidRPr="004B4009" w:rsidRDefault="00F13E8D" w:rsidP="007270FA">
            <w:pPr>
              <w:rPr>
                <w:rFonts w:cstheme="minorHAnsi"/>
                <w:bCs/>
                <w:sz w:val="20"/>
                <w:szCs w:val="20"/>
              </w:rPr>
            </w:pPr>
            <w:r w:rsidRPr="004B4009">
              <w:rPr>
                <w:rFonts w:cstheme="minorHAnsi"/>
                <w:bCs/>
                <w:sz w:val="20"/>
                <w:szCs w:val="20"/>
              </w:rPr>
              <w:t>Infrastructure</w:t>
            </w:r>
          </w:p>
        </w:tc>
      </w:tr>
      <w:tr w:rsidR="00F13E8D" w:rsidRPr="004B4009" w14:paraId="5CDAAA0E" w14:textId="77777777" w:rsidTr="007270FA">
        <w:tc>
          <w:tcPr>
            <w:tcW w:w="4428" w:type="dxa"/>
          </w:tcPr>
          <w:p w14:paraId="6111938C" w14:textId="77777777" w:rsidR="00F13E8D" w:rsidRPr="004B4009" w:rsidRDefault="00F13E8D" w:rsidP="007270FA">
            <w:pPr>
              <w:rPr>
                <w:rFonts w:cstheme="minorHAnsi"/>
                <w:bCs/>
                <w:sz w:val="20"/>
                <w:szCs w:val="20"/>
              </w:rPr>
            </w:pPr>
            <w:r w:rsidRPr="004B4009">
              <w:rPr>
                <w:rFonts w:cstheme="minorHAnsi"/>
                <w:bCs/>
                <w:sz w:val="20"/>
                <w:szCs w:val="20"/>
              </w:rPr>
              <w:t>Workshops, conferences, learning events</w:t>
            </w:r>
          </w:p>
        </w:tc>
        <w:tc>
          <w:tcPr>
            <w:tcW w:w="4428" w:type="dxa"/>
          </w:tcPr>
          <w:p w14:paraId="7A5653D2" w14:textId="77777777" w:rsidR="00F13E8D" w:rsidRPr="004B4009" w:rsidRDefault="00F13E8D" w:rsidP="007270FA">
            <w:pPr>
              <w:rPr>
                <w:rFonts w:cstheme="minorHAnsi"/>
                <w:bCs/>
                <w:sz w:val="20"/>
                <w:szCs w:val="20"/>
              </w:rPr>
            </w:pPr>
            <w:r>
              <w:rPr>
                <w:rFonts w:cstheme="minorHAnsi"/>
                <w:bCs/>
                <w:sz w:val="20"/>
                <w:szCs w:val="20"/>
              </w:rPr>
              <w:t>Cash transfers to responsible parties</w:t>
            </w:r>
          </w:p>
        </w:tc>
      </w:tr>
      <w:tr w:rsidR="00F13E8D" w:rsidRPr="004B4009" w14:paraId="20EEF5A7" w14:textId="77777777" w:rsidTr="007270FA">
        <w:tc>
          <w:tcPr>
            <w:tcW w:w="4428" w:type="dxa"/>
          </w:tcPr>
          <w:p w14:paraId="4BBAC436" w14:textId="77777777" w:rsidR="00F13E8D" w:rsidRPr="004B4009" w:rsidRDefault="00F13E8D" w:rsidP="007270FA">
            <w:pPr>
              <w:rPr>
                <w:rFonts w:cstheme="minorHAnsi"/>
                <w:bCs/>
                <w:sz w:val="20"/>
                <w:szCs w:val="20"/>
              </w:rPr>
            </w:pPr>
            <w:r w:rsidRPr="004B4009">
              <w:rPr>
                <w:rFonts w:cstheme="minorHAnsi"/>
                <w:bCs/>
                <w:sz w:val="20"/>
                <w:szCs w:val="20"/>
              </w:rPr>
              <w:t xml:space="preserve">South-South and/or </w:t>
            </w:r>
            <w:r>
              <w:rPr>
                <w:rFonts w:cstheme="minorHAnsi"/>
                <w:bCs/>
                <w:sz w:val="20"/>
                <w:szCs w:val="20"/>
              </w:rPr>
              <w:t>t</w:t>
            </w:r>
            <w:r w:rsidRPr="004B4009">
              <w:rPr>
                <w:rFonts w:cstheme="minorHAnsi"/>
                <w:bCs/>
                <w:sz w:val="20"/>
                <w:szCs w:val="20"/>
              </w:rPr>
              <w:t xml:space="preserve">riangular </w:t>
            </w:r>
            <w:r>
              <w:rPr>
                <w:rFonts w:cstheme="minorHAnsi"/>
                <w:bCs/>
                <w:sz w:val="20"/>
                <w:szCs w:val="20"/>
              </w:rPr>
              <w:t>c</w:t>
            </w:r>
            <w:r w:rsidRPr="004B4009">
              <w:rPr>
                <w:rFonts w:cstheme="minorHAnsi"/>
                <w:bCs/>
                <w:sz w:val="20"/>
                <w:szCs w:val="20"/>
              </w:rPr>
              <w:t>ooperation</w:t>
            </w:r>
          </w:p>
        </w:tc>
        <w:tc>
          <w:tcPr>
            <w:tcW w:w="4428" w:type="dxa"/>
          </w:tcPr>
          <w:p w14:paraId="57061F63" w14:textId="77777777" w:rsidR="00F13E8D" w:rsidRPr="004B4009" w:rsidRDefault="00F13E8D" w:rsidP="007270FA">
            <w:pPr>
              <w:rPr>
                <w:rFonts w:cstheme="minorHAnsi"/>
                <w:bCs/>
                <w:sz w:val="20"/>
                <w:szCs w:val="20"/>
              </w:rPr>
            </w:pPr>
          </w:p>
        </w:tc>
      </w:tr>
      <w:tr w:rsidR="00F13E8D" w:rsidRPr="004B4009" w14:paraId="6DA6D154" w14:textId="77777777" w:rsidTr="007270FA">
        <w:tc>
          <w:tcPr>
            <w:tcW w:w="4428" w:type="dxa"/>
          </w:tcPr>
          <w:p w14:paraId="0A52D599" w14:textId="77777777" w:rsidR="00F13E8D" w:rsidRPr="004B4009" w:rsidRDefault="00F13E8D" w:rsidP="007270FA">
            <w:pPr>
              <w:rPr>
                <w:rFonts w:cstheme="minorHAnsi"/>
                <w:bCs/>
                <w:sz w:val="20"/>
                <w:szCs w:val="20"/>
              </w:rPr>
            </w:pPr>
            <w:r w:rsidRPr="004B4009">
              <w:rPr>
                <w:rFonts w:cstheme="minorHAnsi"/>
                <w:bCs/>
                <w:sz w:val="20"/>
                <w:szCs w:val="20"/>
              </w:rPr>
              <w:t>Policy, academic or research ties between institutions</w:t>
            </w:r>
          </w:p>
        </w:tc>
        <w:tc>
          <w:tcPr>
            <w:tcW w:w="4428" w:type="dxa"/>
          </w:tcPr>
          <w:p w14:paraId="26D8FE77" w14:textId="77777777" w:rsidR="00F13E8D" w:rsidRPr="004B4009" w:rsidRDefault="00F13E8D" w:rsidP="007270FA">
            <w:pPr>
              <w:rPr>
                <w:rFonts w:cstheme="minorHAnsi"/>
                <w:bCs/>
                <w:sz w:val="20"/>
                <w:szCs w:val="20"/>
              </w:rPr>
            </w:pPr>
          </w:p>
        </w:tc>
      </w:tr>
      <w:tr w:rsidR="00F13E8D" w:rsidRPr="004B4009" w14:paraId="1A8D841B" w14:textId="77777777" w:rsidTr="007270FA">
        <w:tc>
          <w:tcPr>
            <w:tcW w:w="4428" w:type="dxa"/>
          </w:tcPr>
          <w:p w14:paraId="33B962E7" w14:textId="77777777" w:rsidR="00F13E8D" w:rsidRPr="004B4009" w:rsidRDefault="00F13E8D" w:rsidP="007270FA">
            <w:pPr>
              <w:rPr>
                <w:rFonts w:cstheme="minorHAnsi"/>
                <w:bCs/>
                <w:sz w:val="20"/>
                <w:szCs w:val="20"/>
              </w:rPr>
            </w:pPr>
            <w:r w:rsidRPr="004B4009">
              <w:rPr>
                <w:rFonts w:cstheme="minorHAnsi"/>
                <w:bCs/>
                <w:sz w:val="20"/>
                <w:szCs w:val="20"/>
              </w:rPr>
              <w:t xml:space="preserve">Impact evaluations after project closure </w:t>
            </w:r>
          </w:p>
        </w:tc>
        <w:tc>
          <w:tcPr>
            <w:tcW w:w="4428" w:type="dxa"/>
          </w:tcPr>
          <w:p w14:paraId="6A13F43C" w14:textId="77777777" w:rsidR="00F13E8D" w:rsidRPr="004B4009" w:rsidRDefault="00F13E8D" w:rsidP="007270FA">
            <w:pPr>
              <w:rPr>
                <w:rFonts w:cstheme="minorHAnsi"/>
                <w:bCs/>
                <w:sz w:val="20"/>
                <w:szCs w:val="20"/>
              </w:rPr>
            </w:pPr>
          </w:p>
        </w:tc>
      </w:tr>
    </w:tbl>
    <w:p w14:paraId="37D3ECF0" w14:textId="0F3CB854" w:rsidR="00000000" w:rsidRDefault="00000000" w:rsidP="007B6AE6">
      <w:pPr>
        <w:spacing w:after="0" w:line="240" w:lineRule="auto"/>
      </w:pPr>
    </w:p>
    <w:sectPr w:rsidR="00696E96" w:rsidSect="006625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7010" w14:textId="77777777" w:rsidR="00FA2726" w:rsidRDefault="00FA2726" w:rsidP="0044590D">
      <w:pPr>
        <w:spacing w:after="0" w:line="240" w:lineRule="auto"/>
      </w:pPr>
      <w:r>
        <w:separator/>
      </w:r>
    </w:p>
  </w:endnote>
  <w:endnote w:type="continuationSeparator" w:id="0">
    <w:p w14:paraId="1A2BA2F4" w14:textId="77777777" w:rsidR="00FA2726" w:rsidRDefault="00FA2726" w:rsidP="0044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F263" w14:textId="77777777" w:rsidR="0044590D" w:rsidRDefault="0044590D"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DB7DA" w14:textId="77777777" w:rsidR="0044590D" w:rsidRDefault="0044590D" w:rsidP="004459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CE15" w14:textId="666E3078" w:rsidR="0044590D" w:rsidRDefault="00942159" w:rsidP="00942159">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Effective Date: 05/06/2018</w:t>
    </w:r>
    <w:r>
      <w:t xml:space="preserve"> </w:t>
    </w:r>
    <w:r>
      <w:ptab w:relativeTo="margin" w:alignment="right" w:leader="none"/>
    </w:r>
    <w:r>
      <w:t>v.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8448" w14:textId="77777777" w:rsidR="00942159" w:rsidRDefault="0094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3F36" w14:textId="77777777" w:rsidR="00FA2726" w:rsidRDefault="00FA2726" w:rsidP="0044590D">
      <w:pPr>
        <w:spacing w:after="0" w:line="240" w:lineRule="auto"/>
      </w:pPr>
      <w:r>
        <w:separator/>
      </w:r>
    </w:p>
  </w:footnote>
  <w:footnote w:type="continuationSeparator" w:id="0">
    <w:p w14:paraId="1D706031" w14:textId="77777777" w:rsidR="00FA2726" w:rsidRDefault="00FA2726" w:rsidP="0044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062A0" w14:textId="77777777" w:rsidR="00942159" w:rsidRDefault="0094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FBB7" w14:textId="77777777" w:rsidR="0044590D" w:rsidRDefault="0044590D" w:rsidP="0044590D">
    <w:pPr>
      <w:pStyle w:val="Header"/>
      <w:jc w:val="right"/>
    </w:pPr>
    <w:r>
      <w:rPr>
        <w:noProof/>
      </w:rPr>
      <w:drawing>
        <wp:inline distT="0" distB="0" distL="0" distR="0" wp14:anchorId="75F68BAF" wp14:editId="4A15DC1F">
          <wp:extent cx="304800" cy="6019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363"/>
                  <a:stretch/>
                </pic:blipFill>
                <pic:spPr bwMode="auto">
                  <a:xfrm>
                    <a:off x="0" y="0"/>
                    <a:ext cx="309373" cy="61101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3A81" w14:textId="77777777" w:rsidR="00942159" w:rsidRDefault="0094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81605"/>
    <w:multiLevelType w:val="hybridMultilevel"/>
    <w:tmpl w:val="DC5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35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0D"/>
    <w:rsid w:val="001949ED"/>
    <w:rsid w:val="001F2EF7"/>
    <w:rsid w:val="00255B9F"/>
    <w:rsid w:val="0044590D"/>
    <w:rsid w:val="005D5C5C"/>
    <w:rsid w:val="005E1DA7"/>
    <w:rsid w:val="00662578"/>
    <w:rsid w:val="006D21C9"/>
    <w:rsid w:val="0075169E"/>
    <w:rsid w:val="00771374"/>
    <w:rsid w:val="007B6AE6"/>
    <w:rsid w:val="007F482D"/>
    <w:rsid w:val="008E13C0"/>
    <w:rsid w:val="008E5100"/>
    <w:rsid w:val="00942159"/>
    <w:rsid w:val="00B60D36"/>
    <w:rsid w:val="00B66545"/>
    <w:rsid w:val="00B84935"/>
    <w:rsid w:val="00B84F05"/>
    <w:rsid w:val="00BB05E9"/>
    <w:rsid w:val="00C12E53"/>
    <w:rsid w:val="00E12541"/>
    <w:rsid w:val="00F13E8D"/>
    <w:rsid w:val="00FA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E88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4590D"/>
    <w:pPr>
      <w:ind w:left="720"/>
      <w:contextualSpacing/>
    </w:pPr>
  </w:style>
  <w:style w:type="table" w:styleId="TableGrid">
    <w:name w:val="Table Grid"/>
    <w:basedOn w:val="TableNormal"/>
    <w:uiPriority w:val="39"/>
    <w:rsid w:val="004459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44590D"/>
    <w:rPr>
      <w:sz w:val="22"/>
      <w:szCs w:val="22"/>
    </w:rPr>
  </w:style>
  <w:style w:type="paragraph" w:styleId="Header">
    <w:name w:val="header"/>
    <w:basedOn w:val="Normal"/>
    <w:link w:val="HeaderChar"/>
    <w:uiPriority w:val="99"/>
    <w:unhideWhenUsed/>
    <w:rsid w:val="00445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0D"/>
    <w:rPr>
      <w:sz w:val="22"/>
      <w:szCs w:val="22"/>
    </w:rPr>
  </w:style>
  <w:style w:type="paragraph" w:styleId="Footer">
    <w:name w:val="footer"/>
    <w:basedOn w:val="Normal"/>
    <w:link w:val="FooterChar"/>
    <w:uiPriority w:val="99"/>
    <w:unhideWhenUsed/>
    <w:rsid w:val="00445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0D"/>
    <w:rPr>
      <w:sz w:val="22"/>
      <w:szCs w:val="22"/>
    </w:rPr>
  </w:style>
  <w:style w:type="character" w:styleId="PageNumber">
    <w:name w:val="page number"/>
    <w:basedOn w:val="DefaultParagraphFont"/>
    <w:uiPriority w:val="99"/>
    <w:semiHidden/>
    <w:unhideWhenUsed/>
    <w:rsid w:val="0044590D"/>
  </w:style>
  <w:style w:type="character" w:styleId="PlaceholderText">
    <w:name w:val="Placeholder Text"/>
    <w:basedOn w:val="DefaultParagraphFont"/>
    <w:uiPriority w:val="99"/>
    <w:semiHidden/>
    <w:rsid w:val="006D21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6/4/2018                                                Version #: 3.0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Engagement Facility</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POPP-11-2603</_dlc_DocId>
    <_dlc_DocIdUrl xmlns="8264c5cc-ec60-4b56-8111-ce635d3d139a">
      <Url>https://popp.undp.org/_layouts/15/DocIdRedir.aspx?ID=POPP-11-2603</Url>
      <Description>POPP-11-2603</Description>
    </_dlc_DocIdUrl>
    <DLCPolicyLabelValue xmlns="e560140e-7b2f-4392-90df-e7567e3021a3">Effective Date: 05/06/2018                                                Version #: 3</DLCPolicyLabelValue>
    <POPPIsArchived xmlns="e560140e-7b2f-4392-90df-e7567e3021a3">false</POPPIsArchived>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83A8F-0CAE-412F-B8B9-FBC5FBCDEE4B}">
  <ds:schemaRefs>
    <ds:schemaRef ds:uri="http://schemas.microsoft.com/sharepoint/events"/>
  </ds:schemaRefs>
</ds:datastoreItem>
</file>

<file path=customXml/itemProps2.xml><?xml version="1.0" encoding="utf-8"?>
<ds:datastoreItem xmlns:ds="http://schemas.openxmlformats.org/officeDocument/2006/customXml" ds:itemID="{001D3359-8F0E-4A44-B056-4AC6FEFDB1D3}">
  <ds:schemaRefs>
    <ds:schemaRef ds:uri="office.server.policy"/>
  </ds:schemaRefs>
</ds:datastoreItem>
</file>

<file path=customXml/itemProps3.xml><?xml version="1.0" encoding="utf-8"?>
<ds:datastoreItem xmlns:ds="http://schemas.openxmlformats.org/officeDocument/2006/customXml" ds:itemID="{FB1C94EE-127D-4EF6-8231-9E4A7F562120}">
  <ds:schemaRefs>
    <ds:schemaRef ds:uri="http://schemas.openxmlformats.org/officeDocument/2006/bibliography"/>
  </ds:schemaRefs>
</ds:datastoreItem>
</file>

<file path=customXml/itemProps4.xml><?xml version="1.0" encoding="utf-8"?>
<ds:datastoreItem xmlns:ds="http://schemas.openxmlformats.org/officeDocument/2006/customXml" ds:itemID="{81477105-CBF4-47EA-B0D6-BF76557D26D3}">
  <ds:schemaRefs>
    <ds:schemaRef ds:uri="http://schemas.microsoft.com/sharepoint/v3/contenttype/forms"/>
  </ds:schemaRefs>
</ds:datastoreItem>
</file>

<file path=customXml/itemProps5.xml><?xml version="1.0" encoding="utf-8"?>
<ds:datastoreItem xmlns:ds="http://schemas.openxmlformats.org/officeDocument/2006/customXml" ds:itemID="{A5E12644-8051-45E9-83A1-E0A9444C8E2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D78FBA7-8E79-4970-B9D5-DAD75D74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18</cp:revision>
  <dcterms:created xsi:type="dcterms:W3CDTF">2018-04-24T00:48:00Z</dcterms:created>
  <dcterms:modified xsi:type="dcterms:W3CDTF">2024-05-20T12:37:00Z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5ff0aba5-1ec2-4c22-9edd-1fa9c583c442</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